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EF7AF3" w14:textId="77777777" w:rsidR="002052E4" w:rsidRPr="00AD15B0" w:rsidRDefault="00E56BAB" w:rsidP="00AD15B0">
      <w:pPr>
        <w:spacing w:after="120"/>
        <w:jc w:val="both"/>
      </w:pPr>
      <w:r w:rsidRPr="00AD15B0">
        <w:rPr>
          <w:i/>
          <w:iCs/>
          <w:sz w:val="26"/>
          <w:szCs w:val="26"/>
        </w:rPr>
        <w:t>Guía de Metalizado de Cobre sobre Pieza de Resina</w:t>
      </w:r>
    </w:p>
    <w:p w14:paraId="314C93CB" w14:textId="461554E6" w:rsidR="002052E4" w:rsidRPr="00AD15B0" w:rsidRDefault="00E56BAB" w:rsidP="00AD15B0">
      <w:pPr>
        <w:spacing w:after="250"/>
        <w:jc w:val="both"/>
      </w:pPr>
      <w:r w:rsidRPr="00AD15B0">
        <w:rPr>
          <w:i/>
          <w:iCs/>
          <w:color w:val="555555"/>
        </w:rPr>
        <w:t xml:space="preserve">Nota: estas son observaciones informales para ayudar a fortalecer </w:t>
      </w:r>
      <w:r w:rsidR="00AD15B0">
        <w:rPr>
          <w:i/>
          <w:iCs/>
          <w:color w:val="555555"/>
        </w:rPr>
        <w:t>las medidas seguridad d</w:t>
      </w:r>
      <w:r w:rsidRPr="00AD15B0">
        <w:rPr>
          <w:i/>
          <w:iCs/>
          <w:color w:val="555555"/>
        </w:rPr>
        <w:t>el procedimiento. No reemplazan la evaluación ni la autorización del Comité Institucional de Seguridad en la Investigación: para continuar con el procedimiento, primero debe someterse a su aprobación.</w:t>
      </w:r>
    </w:p>
    <w:p w14:paraId="61CEB294" w14:textId="2C773949" w:rsidR="002052E4" w:rsidRPr="00AD15B0" w:rsidRDefault="00AD15B0" w:rsidP="00AD15B0">
      <w:pPr>
        <w:pStyle w:val="Ttulo1"/>
        <w:numPr>
          <w:ilvl w:val="0"/>
          <w:numId w:val="5"/>
        </w:numPr>
        <w:spacing w:before="300" w:after="150"/>
        <w:jc w:val="both"/>
        <w:rPr>
          <w:color w:val="auto"/>
          <w:sz w:val="22"/>
          <w:szCs w:val="22"/>
        </w:rPr>
      </w:pPr>
      <w:r w:rsidRPr="00AD15B0">
        <w:rPr>
          <w:color w:val="auto"/>
          <w:sz w:val="22"/>
          <w:szCs w:val="22"/>
        </w:rPr>
        <w:t>ANTECEDENTES</w:t>
      </w:r>
    </w:p>
    <w:p w14:paraId="51A5BDD1" w14:textId="77777777" w:rsidR="002052E4" w:rsidRPr="00AD15B0" w:rsidRDefault="00E56BAB" w:rsidP="00AD15B0">
      <w:pPr>
        <w:spacing w:after="120"/>
        <w:jc w:val="both"/>
      </w:pPr>
      <w:r w:rsidRPr="00AD15B0">
        <w:rPr>
          <w:sz w:val="22"/>
          <w:szCs w:val="22"/>
        </w:rPr>
        <w:t>Revisé el documento "Guía de Metalizado de Cobre sobre Pieza de Resina" (Nicolás Seguel), que describe un procedimiento de 6 pasos para depositar una capa de cobre metálico sobre piezas impresas en resina: (1) lijado y desengrase de la superficie con IPA, metanol y acetona; (2) aplicación de pintura conductiva de grafito coloidal con aerógrafo; (3) montaje de contactos eléctricos sobre la capa de grafito; (4) preparación de un baño electrolítico de sulfato de cobre y ácido sulfúrico al 98% (10 L); (5) elect</w:t>
      </w:r>
      <w:r w:rsidRPr="00AD15B0">
        <w:rPr>
          <w:sz w:val="22"/>
          <w:szCs w:val="22"/>
        </w:rPr>
        <w:t>rodeposición de cobre aplicando corriente DC creciente durante aproximadamente 1 a 1.5 horas; y (6) enjuague y secado de la pieza.</w:t>
      </w:r>
    </w:p>
    <w:p w14:paraId="5E6FE3E6" w14:textId="77777777" w:rsidR="002052E4" w:rsidRPr="00AD15B0" w:rsidRDefault="00E56BAB" w:rsidP="00AD15B0">
      <w:pPr>
        <w:spacing w:after="120"/>
        <w:jc w:val="both"/>
      </w:pPr>
      <w:r w:rsidRPr="00AD15B0">
        <w:rPr>
          <w:sz w:val="22"/>
          <w:szCs w:val="22"/>
        </w:rPr>
        <w:t>Tomé como referencia de estructura y contenido el formato de Procedimiento Operativo Estandarizado (POE-PLS), y me centré especialmente en: reacciones químicas y generación de vapores durante la preparación y uso de reactivos, la gestión de residuos peligrosos generados por el proceso, las zonas de trabajo requeridas, y la adecuación del equipo de protección personal (EPP).</w:t>
      </w:r>
    </w:p>
    <w:p w14:paraId="0586DAC1" w14:textId="5753F774" w:rsidR="002052E4" w:rsidRPr="00AD15B0" w:rsidRDefault="00AD15B0" w:rsidP="00AD15B0">
      <w:pPr>
        <w:pStyle w:val="Ttulo1"/>
        <w:numPr>
          <w:ilvl w:val="0"/>
          <w:numId w:val="5"/>
        </w:numPr>
        <w:spacing w:before="300" w:after="150"/>
        <w:jc w:val="both"/>
        <w:rPr>
          <w:color w:val="auto"/>
          <w:sz w:val="22"/>
          <w:szCs w:val="22"/>
        </w:rPr>
      </w:pPr>
      <w:r w:rsidRPr="00AD15B0">
        <w:rPr>
          <w:color w:val="auto"/>
          <w:sz w:val="22"/>
          <w:szCs w:val="22"/>
        </w:rPr>
        <w:t>CONCLUSIÓN GENERAL</w:t>
      </w:r>
    </w:p>
    <w:p w14:paraId="2182DCAE" w14:textId="77777777" w:rsidR="002052E4" w:rsidRPr="00AD15B0" w:rsidRDefault="00E56BAB" w:rsidP="00AD15B0">
      <w:pPr>
        <w:spacing w:after="120"/>
        <w:jc w:val="both"/>
      </w:pPr>
      <w:r w:rsidRPr="00AD15B0">
        <w:rPr>
          <w:sz w:val="22"/>
          <w:szCs w:val="22"/>
        </w:rPr>
        <w:t xml:space="preserve">El documento describe correctamente la secuencia química fundamental más crítica del proceso (agregar ácido sobre la solución acuosa, nunca al revés, y dejar disipar el calor entre adiciones). Sin embargo, como procedimiento que involucra reactivos corrosivos, tóxicos e inflamables, aún está incompleto: le faltan las secciones que el formato POE contempla —factores de riesgo, zonas de trabajo, procedimiento de emergencia y gestión de residuos— y varias medidas de EPP y ventilación no están vinculadas a los </w:t>
      </w:r>
      <w:r w:rsidRPr="00AD15B0">
        <w:rPr>
          <w:sz w:val="22"/>
          <w:szCs w:val="22"/>
        </w:rPr>
        <w:t>pasos específicos donde se generan los riesgos.</w:t>
      </w:r>
    </w:p>
    <w:p w14:paraId="3458CC63" w14:textId="77777777" w:rsidR="002052E4" w:rsidRPr="00AD15B0" w:rsidRDefault="00E56BAB" w:rsidP="00AD15B0">
      <w:pPr>
        <w:spacing w:after="120"/>
        <w:jc w:val="both"/>
      </w:pPr>
      <w:r w:rsidRPr="00AD15B0">
        <w:rPr>
          <w:sz w:val="22"/>
          <w:szCs w:val="22"/>
        </w:rPr>
        <w:t xml:space="preserve">Antes de continuar con el procedimiento, te recomiendo incorporar las observaciones señaladas en la sección 3 y reformular el documento siguiendo la estructura POE-PLS (objetivo, alcance, factores de riesgo, zonas de trabajo, EPP por etapa, procedimiento de emergencia, gestión de residuos, referencias a HDS). Estas son observaciones de apoyo, no una evaluación formal: la versión actualizada debe someterse al Comité Institucional de Seguridad en la Investigación, cuya autorización es el paso que corresponde </w:t>
      </w:r>
      <w:r w:rsidRPr="00AD15B0">
        <w:rPr>
          <w:sz w:val="22"/>
          <w:szCs w:val="22"/>
        </w:rPr>
        <w:t>antes de ejecutar el procedimiento en el laboratorio.</w:t>
      </w:r>
    </w:p>
    <w:p w14:paraId="4DA5CF40" w14:textId="701B231C" w:rsidR="002052E4" w:rsidRPr="00AD15B0" w:rsidRDefault="00AD15B0" w:rsidP="00AD15B0">
      <w:pPr>
        <w:pStyle w:val="Ttulo1"/>
        <w:numPr>
          <w:ilvl w:val="0"/>
          <w:numId w:val="5"/>
        </w:numPr>
        <w:spacing w:before="300" w:after="150"/>
        <w:jc w:val="both"/>
        <w:rPr>
          <w:color w:val="auto"/>
          <w:sz w:val="22"/>
          <w:szCs w:val="22"/>
        </w:rPr>
      </w:pPr>
      <w:r w:rsidRPr="00AD15B0">
        <w:rPr>
          <w:color w:val="auto"/>
          <w:sz w:val="22"/>
          <w:szCs w:val="22"/>
        </w:rPr>
        <w:t>OBSERVACIONES Y RECOMENDACIONES POR CATEGORÍA</w:t>
      </w:r>
    </w:p>
    <w:p w14:paraId="6D0CA98E" w14:textId="4A52111F" w:rsidR="002052E4" w:rsidRPr="00AD15B0" w:rsidRDefault="00AD15B0" w:rsidP="00AD15B0">
      <w:pPr>
        <w:pStyle w:val="Ttulo1"/>
        <w:numPr>
          <w:ilvl w:val="1"/>
          <w:numId w:val="5"/>
        </w:numPr>
        <w:spacing w:before="300" w:after="150"/>
        <w:jc w:val="both"/>
        <w:rPr>
          <w:color w:val="auto"/>
          <w:sz w:val="22"/>
          <w:szCs w:val="22"/>
        </w:rPr>
      </w:pPr>
      <w:r w:rsidRPr="00AD15B0">
        <w:rPr>
          <w:color w:val="auto"/>
          <w:sz w:val="22"/>
          <w:szCs w:val="22"/>
        </w:rPr>
        <w:t>REACCIONES QUÍMICAS Y CONTROL TÉRMICO</w:t>
      </w:r>
    </w:p>
    <w:tbl>
      <w:tblPr>
        <w:tblW w:w="10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4129"/>
        <w:gridCol w:w="4196"/>
      </w:tblGrid>
      <w:tr w:rsidR="002052E4" w:rsidRPr="00AD15B0" w14:paraId="462F5A4D" w14:textId="77777777" w:rsidTr="00AD15B0">
        <w:trPr>
          <w:tblHeader/>
        </w:trPr>
        <w:tc>
          <w:tcPr>
            <w:tcW w:w="2120" w:type="dxa"/>
            <w:shd w:val="clear" w:color="auto" w:fill="BDD7EE"/>
            <w:tcMar>
              <w:top w:w="80" w:type="dxa"/>
              <w:left w:w="100" w:type="dxa"/>
              <w:bottom w:w="80" w:type="dxa"/>
              <w:right w:w="100" w:type="dxa"/>
            </w:tcMar>
          </w:tcPr>
          <w:p w14:paraId="19D1AE97" w14:textId="77777777" w:rsidR="002052E4" w:rsidRPr="00AD15B0" w:rsidRDefault="00E56BAB" w:rsidP="00AD15B0">
            <w:pPr>
              <w:jc w:val="both"/>
            </w:pPr>
            <w:r w:rsidRPr="00AD15B0">
              <w:rPr>
                <w:b/>
                <w:bCs/>
              </w:rPr>
              <w:t>Punto evaluado</w:t>
            </w:r>
          </w:p>
        </w:tc>
        <w:tc>
          <w:tcPr>
            <w:tcW w:w="4129" w:type="dxa"/>
            <w:shd w:val="clear" w:color="auto" w:fill="BDD7EE"/>
            <w:tcMar>
              <w:top w:w="80" w:type="dxa"/>
              <w:left w:w="100" w:type="dxa"/>
              <w:bottom w:w="80" w:type="dxa"/>
              <w:right w:w="100" w:type="dxa"/>
            </w:tcMar>
          </w:tcPr>
          <w:p w14:paraId="1C239007" w14:textId="77777777" w:rsidR="002052E4" w:rsidRPr="00AD15B0" w:rsidRDefault="00E56BAB" w:rsidP="00AD15B0">
            <w:pPr>
              <w:jc w:val="both"/>
            </w:pPr>
            <w:r w:rsidRPr="00AD15B0">
              <w:rPr>
                <w:b/>
                <w:bCs/>
              </w:rPr>
              <w:t>Observación</w:t>
            </w:r>
          </w:p>
        </w:tc>
        <w:tc>
          <w:tcPr>
            <w:tcW w:w="4196" w:type="dxa"/>
            <w:shd w:val="clear" w:color="auto" w:fill="BDD7EE"/>
            <w:tcMar>
              <w:top w:w="80" w:type="dxa"/>
              <w:left w:w="100" w:type="dxa"/>
              <w:bottom w:w="80" w:type="dxa"/>
              <w:right w:w="100" w:type="dxa"/>
            </w:tcMar>
          </w:tcPr>
          <w:p w14:paraId="1B5926B9" w14:textId="77777777" w:rsidR="002052E4" w:rsidRPr="00AD15B0" w:rsidRDefault="00E56BAB" w:rsidP="00AD15B0">
            <w:pPr>
              <w:jc w:val="both"/>
            </w:pPr>
            <w:r w:rsidRPr="00AD15B0">
              <w:rPr>
                <w:b/>
                <w:bCs/>
              </w:rPr>
              <w:t>Recomendación</w:t>
            </w:r>
          </w:p>
        </w:tc>
      </w:tr>
      <w:tr w:rsidR="002052E4" w:rsidRPr="00AD15B0" w14:paraId="7002A648" w14:textId="77777777" w:rsidTr="00AD15B0">
        <w:tc>
          <w:tcPr>
            <w:tcW w:w="2120" w:type="dxa"/>
            <w:tcMar>
              <w:top w:w="80" w:type="dxa"/>
              <w:left w:w="100" w:type="dxa"/>
              <w:bottom w:w="80" w:type="dxa"/>
              <w:right w:w="100" w:type="dxa"/>
            </w:tcMar>
          </w:tcPr>
          <w:p w14:paraId="21A826AC" w14:textId="77777777" w:rsidR="002052E4" w:rsidRPr="00AD15B0" w:rsidRDefault="00E56BAB" w:rsidP="00AD15B0">
            <w:pPr>
              <w:jc w:val="both"/>
            </w:pPr>
            <w:r w:rsidRPr="00AD15B0">
              <w:t>Adición de H₂SO₄ 98% al baño (Paso 4.2.3)</w:t>
            </w:r>
          </w:p>
        </w:tc>
        <w:tc>
          <w:tcPr>
            <w:tcW w:w="4129" w:type="dxa"/>
            <w:tcMar>
              <w:top w:w="80" w:type="dxa"/>
              <w:left w:w="100" w:type="dxa"/>
              <w:bottom w:w="80" w:type="dxa"/>
              <w:right w:w="100" w:type="dxa"/>
            </w:tcMar>
          </w:tcPr>
          <w:p w14:paraId="4AE06123" w14:textId="77777777" w:rsidR="002052E4" w:rsidRPr="00AD15B0" w:rsidRDefault="00E56BAB" w:rsidP="00AD15B0">
            <w:pPr>
              <w:jc w:val="both"/>
            </w:pPr>
            <w:r w:rsidRPr="00AD15B0">
              <w:t>Se agrega 0.70 L de ácido sulfúrico concentrado a la solución de sulfato de cobre. La instrucción "agitando y dejando disipar el calor entre adiciones" es correcta en principio, pero no define un límite de temperatura, no indica medir con el termómetro (que sí figura en la lista de materiales) durante esta etapa, ni prevé un baño de enfriamiento externo si la temperatura sube demasiado rápido.</w:t>
            </w:r>
          </w:p>
        </w:tc>
        <w:tc>
          <w:tcPr>
            <w:tcW w:w="4196" w:type="dxa"/>
            <w:tcMar>
              <w:top w:w="80" w:type="dxa"/>
              <w:left w:w="100" w:type="dxa"/>
              <w:bottom w:w="80" w:type="dxa"/>
              <w:right w:w="100" w:type="dxa"/>
            </w:tcMar>
          </w:tcPr>
          <w:p w14:paraId="1CFB4E97" w14:textId="77777777" w:rsidR="002052E4" w:rsidRPr="00AD15B0" w:rsidRDefault="00E56BAB" w:rsidP="00AD15B0">
            <w:pPr>
              <w:jc w:val="both"/>
            </w:pPr>
            <w:r w:rsidRPr="00AD15B0">
              <w:t>Monitorear la temperatura con el termómetro durante toda la adición de ácido, definir una temperatura de corte (ej. detener la adición si se supera ~40 °C) y tener disponible un baño de hielo/agua fría como respaldo, no solo confiar en la disipación pasiva del calor.</w:t>
            </w:r>
          </w:p>
        </w:tc>
      </w:tr>
      <w:tr w:rsidR="002052E4" w:rsidRPr="00AD15B0" w14:paraId="2C3C232B" w14:textId="77777777" w:rsidTr="00AD15B0">
        <w:tc>
          <w:tcPr>
            <w:tcW w:w="2120" w:type="dxa"/>
            <w:tcMar>
              <w:top w:w="80" w:type="dxa"/>
              <w:left w:w="100" w:type="dxa"/>
              <w:bottom w:w="80" w:type="dxa"/>
              <w:right w:w="100" w:type="dxa"/>
            </w:tcMar>
          </w:tcPr>
          <w:p w14:paraId="30B21789" w14:textId="77777777" w:rsidR="002052E4" w:rsidRPr="00AD15B0" w:rsidRDefault="00E56BAB" w:rsidP="00AD15B0">
            <w:pPr>
              <w:jc w:val="both"/>
            </w:pPr>
            <w:r w:rsidRPr="00AD15B0">
              <w:t>Volumen y velocidad de adición del ácido</w:t>
            </w:r>
          </w:p>
        </w:tc>
        <w:tc>
          <w:tcPr>
            <w:tcW w:w="4129" w:type="dxa"/>
            <w:tcMar>
              <w:top w:w="80" w:type="dxa"/>
              <w:left w:w="100" w:type="dxa"/>
              <w:bottom w:w="80" w:type="dxa"/>
              <w:right w:w="100" w:type="dxa"/>
            </w:tcMar>
          </w:tcPr>
          <w:p w14:paraId="3B3DB484" w14:textId="77777777" w:rsidR="002052E4" w:rsidRPr="00AD15B0" w:rsidRDefault="00E56BAB" w:rsidP="00AD15B0">
            <w:pPr>
              <w:jc w:val="both"/>
            </w:pPr>
            <w:r w:rsidRPr="00AD15B0">
              <w:t>0.70 L de ácido sulfúrico 98% es una cantidad considerable para agregar "muy lentamente" sin más especificación (no se indica un caudal máximo, tamaño de alícuotas, ni tiempo mínimo total de adición).</w:t>
            </w:r>
          </w:p>
        </w:tc>
        <w:tc>
          <w:tcPr>
            <w:tcW w:w="4196" w:type="dxa"/>
            <w:tcMar>
              <w:top w:w="80" w:type="dxa"/>
              <w:left w:w="100" w:type="dxa"/>
              <w:bottom w:w="80" w:type="dxa"/>
              <w:right w:w="100" w:type="dxa"/>
            </w:tcMar>
          </w:tcPr>
          <w:p w14:paraId="49430C50" w14:textId="77777777" w:rsidR="002052E4" w:rsidRPr="00AD15B0" w:rsidRDefault="00E56BAB" w:rsidP="00AD15B0">
            <w:pPr>
              <w:jc w:val="both"/>
            </w:pPr>
            <w:r w:rsidRPr="00AD15B0">
              <w:t xml:space="preserve">Especificar un procedimiento de adición por alícuotas pequeñas (p. ej. de a 50 </w:t>
            </w:r>
            <w:proofErr w:type="spellStart"/>
            <w:r w:rsidRPr="00AD15B0">
              <w:t>mL</w:t>
            </w:r>
            <w:proofErr w:type="spellEnd"/>
            <w:r w:rsidRPr="00AD15B0">
              <w:t>) con tiempos de espera definidos entre cada una, en vez de dejarlo a criterio del operador.</w:t>
            </w:r>
          </w:p>
        </w:tc>
      </w:tr>
      <w:tr w:rsidR="002052E4" w:rsidRPr="00AD15B0" w14:paraId="7E6422CC" w14:textId="77777777" w:rsidTr="00AD15B0">
        <w:tc>
          <w:tcPr>
            <w:tcW w:w="2120" w:type="dxa"/>
            <w:tcMar>
              <w:top w:w="80" w:type="dxa"/>
              <w:left w:w="100" w:type="dxa"/>
              <w:bottom w:w="80" w:type="dxa"/>
              <w:right w:w="100" w:type="dxa"/>
            </w:tcMar>
          </w:tcPr>
          <w:p w14:paraId="1A1DF4C0" w14:textId="77777777" w:rsidR="002052E4" w:rsidRPr="00AD15B0" w:rsidRDefault="00E56BAB" w:rsidP="00AD15B0">
            <w:pPr>
              <w:jc w:val="both"/>
            </w:pPr>
            <w:r w:rsidRPr="00AD15B0">
              <w:t>Cloruro de sodio en el baño (Paso 4.2.4)</w:t>
            </w:r>
          </w:p>
        </w:tc>
        <w:tc>
          <w:tcPr>
            <w:tcW w:w="4129" w:type="dxa"/>
            <w:tcMar>
              <w:top w:w="80" w:type="dxa"/>
              <w:left w:w="100" w:type="dxa"/>
              <w:bottom w:w="80" w:type="dxa"/>
              <w:right w:w="100" w:type="dxa"/>
            </w:tcMar>
          </w:tcPr>
          <w:p w14:paraId="0A433236" w14:textId="77777777" w:rsidR="002052E4" w:rsidRPr="00AD15B0" w:rsidRDefault="00E56BAB" w:rsidP="00AD15B0">
            <w:pPr>
              <w:jc w:val="both"/>
            </w:pPr>
            <w:r w:rsidRPr="00AD15B0">
              <w:t xml:space="preserve">Se agrega una traza de NaCl (0.9 g en 10 L). Esta práctica es estándar en baños de cobre ácido </w:t>
            </w:r>
            <w:r w:rsidRPr="00AD15B0">
              <w:lastRenderedPageBreak/>
              <w:t>(favorece la disolución anódica), no representa un riesgo adicional relevante en esta concentración.</w:t>
            </w:r>
          </w:p>
        </w:tc>
        <w:tc>
          <w:tcPr>
            <w:tcW w:w="4196" w:type="dxa"/>
            <w:tcMar>
              <w:top w:w="80" w:type="dxa"/>
              <w:left w:w="100" w:type="dxa"/>
              <w:bottom w:w="80" w:type="dxa"/>
              <w:right w:w="100" w:type="dxa"/>
            </w:tcMar>
          </w:tcPr>
          <w:p w14:paraId="4EE9E788" w14:textId="77777777" w:rsidR="002052E4" w:rsidRPr="00AD15B0" w:rsidRDefault="00E56BAB" w:rsidP="00AD15B0">
            <w:pPr>
              <w:jc w:val="both"/>
            </w:pPr>
            <w:r w:rsidRPr="00AD15B0">
              <w:lastRenderedPageBreak/>
              <w:t xml:space="preserve">Sin observación crítica; se sugiere solo indicar brevemente el propósito técnico de este aditivo </w:t>
            </w:r>
            <w:r w:rsidRPr="00AD15B0">
              <w:lastRenderedPageBreak/>
              <w:t>para evitar que un operador no capacitado altere la cantidad.</w:t>
            </w:r>
          </w:p>
        </w:tc>
      </w:tr>
    </w:tbl>
    <w:p w14:paraId="6297D681" w14:textId="77777777" w:rsidR="002052E4" w:rsidRPr="00AD15B0" w:rsidRDefault="002052E4" w:rsidP="00AD15B0">
      <w:pPr>
        <w:spacing w:after="150"/>
        <w:jc w:val="both"/>
      </w:pPr>
    </w:p>
    <w:p w14:paraId="760D105D" w14:textId="642614C0" w:rsidR="002052E4" w:rsidRPr="00AD15B0" w:rsidRDefault="00AD15B0" w:rsidP="00AD15B0">
      <w:pPr>
        <w:pStyle w:val="Ttulo1"/>
        <w:numPr>
          <w:ilvl w:val="1"/>
          <w:numId w:val="5"/>
        </w:numPr>
        <w:spacing w:before="300" w:after="150"/>
        <w:jc w:val="both"/>
        <w:rPr>
          <w:color w:val="auto"/>
          <w:sz w:val="22"/>
          <w:szCs w:val="22"/>
        </w:rPr>
      </w:pPr>
      <w:r w:rsidRPr="00AD15B0">
        <w:rPr>
          <w:color w:val="auto"/>
          <w:sz w:val="22"/>
          <w:szCs w:val="22"/>
        </w:rPr>
        <w:t>VAPORES Y CALIDAD DEL AIRE</w:t>
      </w:r>
    </w:p>
    <w:tbl>
      <w:tblPr>
        <w:tblW w:w="10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4129"/>
        <w:gridCol w:w="4196"/>
      </w:tblGrid>
      <w:tr w:rsidR="002052E4" w:rsidRPr="00AD15B0" w14:paraId="343E20F2" w14:textId="77777777" w:rsidTr="00AD15B0">
        <w:trPr>
          <w:tblHeader/>
        </w:trPr>
        <w:tc>
          <w:tcPr>
            <w:tcW w:w="2120" w:type="dxa"/>
            <w:shd w:val="clear" w:color="auto" w:fill="BDD7EE"/>
            <w:tcMar>
              <w:top w:w="80" w:type="dxa"/>
              <w:left w:w="100" w:type="dxa"/>
              <w:bottom w:w="80" w:type="dxa"/>
              <w:right w:w="100" w:type="dxa"/>
            </w:tcMar>
          </w:tcPr>
          <w:p w14:paraId="6E39C980" w14:textId="77777777" w:rsidR="002052E4" w:rsidRPr="00AD15B0" w:rsidRDefault="00E56BAB" w:rsidP="00AD15B0">
            <w:pPr>
              <w:jc w:val="both"/>
            </w:pPr>
            <w:r w:rsidRPr="00AD15B0">
              <w:rPr>
                <w:b/>
                <w:bCs/>
              </w:rPr>
              <w:t>Punto evaluado</w:t>
            </w:r>
          </w:p>
        </w:tc>
        <w:tc>
          <w:tcPr>
            <w:tcW w:w="4129" w:type="dxa"/>
            <w:shd w:val="clear" w:color="auto" w:fill="BDD7EE"/>
            <w:tcMar>
              <w:top w:w="80" w:type="dxa"/>
              <w:left w:w="100" w:type="dxa"/>
              <w:bottom w:w="80" w:type="dxa"/>
              <w:right w:w="100" w:type="dxa"/>
            </w:tcMar>
          </w:tcPr>
          <w:p w14:paraId="39F42E4F" w14:textId="77777777" w:rsidR="002052E4" w:rsidRPr="00AD15B0" w:rsidRDefault="00E56BAB" w:rsidP="00AD15B0">
            <w:pPr>
              <w:jc w:val="both"/>
            </w:pPr>
            <w:r w:rsidRPr="00AD15B0">
              <w:rPr>
                <w:b/>
                <w:bCs/>
              </w:rPr>
              <w:t>Observación</w:t>
            </w:r>
          </w:p>
        </w:tc>
        <w:tc>
          <w:tcPr>
            <w:tcW w:w="4196" w:type="dxa"/>
            <w:shd w:val="clear" w:color="auto" w:fill="BDD7EE"/>
            <w:tcMar>
              <w:top w:w="80" w:type="dxa"/>
              <w:left w:w="100" w:type="dxa"/>
              <w:bottom w:w="80" w:type="dxa"/>
              <w:right w:w="100" w:type="dxa"/>
            </w:tcMar>
          </w:tcPr>
          <w:p w14:paraId="67A15B72" w14:textId="77777777" w:rsidR="002052E4" w:rsidRPr="00AD15B0" w:rsidRDefault="00E56BAB" w:rsidP="00AD15B0">
            <w:pPr>
              <w:jc w:val="both"/>
            </w:pPr>
            <w:r w:rsidRPr="00AD15B0">
              <w:rPr>
                <w:b/>
                <w:bCs/>
              </w:rPr>
              <w:t>Recomendación</w:t>
            </w:r>
          </w:p>
        </w:tc>
      </w:tr>
      <w:tr w:rsidR="002052E4" w:rsidRPr="00AD15B0" w14:paraId="35C28C9C" w14:textId="77777777" w:rsidTr="00AD15B0">
        <w:tc>
          <w:tcPr>
            <w:tcW w:w="2120" w:type="dxa"/>
            <w:tcMar>
              <w:top w:w="80" w:type="dxa"/>
              <w:left w:w="100" w:type="dxa"/>
              <w:bottom w:w="80" w:type="dxa"/>
              <w:right w:w="100" w:type="dxa"/>
            </w:tcMar>
          </w:tcPr>
          <w:p w14:paraId="4E82B968" w14:textId="77777777" w:rsidR="002052E4" w:rsidRPr="00AD15B0" w:rsidRDefault="00E56BAB" w:rsidP="00AD15B0">
            <w:pPr>
              <w:jc w:val="both"/>
            </w:pPr>
            <w:r w:rsidRPr="00AD15B0">
              <w:t>Uso de metanol en desengrase (Paso 1.2.b)</w:t>
            </w:r>
          </w:p>
        </w:tc>
        <w:tc>
          <w:tcPr>
            <w:tcW w:w="4129" w:type="dxa"/>
            <w:tcMar>
              <w:top w:w="80" w:type="dxa"/>
              <w:left w:w="100" w:type="dxa"/>
              <w:bottom w:w="80" w:type="dxa"/>
              <w:right w:w="100" w:type="dxa"/>
            </w:tcMar>
          </w:tcPr>
          <w:p w14:paraId="080FAE4A" w14:textId="77777777" w:rsidR="002052E4" w:rsidRPr="00AD15B0" w:rsidRDefault="00E56BAB" w:rsidP="00AD15B0">
            <w:pPr>
              <w:jc w:val="both"/>
            </w:pPr>
            <w:r w:rsidRPr="00AD15B0">
              <w:t>Se emplea metanol junto con IPA y acetona para limpiar la pieza, sin justificación técnica de por qué se requieren los tres solventes. El metanol tiene toxicidad sistémica significativa por inhalación y absorción cutánea (incluye riesgo de daño al nervio óptico), mayor que la de IPA o acetona para una tarea de desengrase equivalente.</w:t>
            </w:r>
          </w:p>
        </w:tc>
        <w:tc>
          <w:tcPr>
            <w:tcW w:w="4196" w:type="dxa"/>
            <w:tcMar>
              <w:top w:w="80" w:type="dxa"/>
              <w:left w:w="100" w:type="dxa"/>
              <w:bottom w:w="80" w:type="dxa"/>
              <w:right w:w="100" w:type="dxa"/>
            </w:tcMar>
          </w:tcPr>
          <w:p w14:paraId="5C9E08C0" w14:textId="4C6A2B33" w:rsidR="002052E4" w:rsidRPr="00AD15B0" w:rsidRDefault="00E56BAB" w:rsidP="00AD15B0">
            <w:pPr>
              <w:jc w:val="both"/>
            </w:pPr>
            <w:r w:rsidRPr="00AD15B0">
              <w:t xml:space="preserve">Evaluar si el metanol es realmente necesario; si no aporta una ventaja de limpieza específica sobre IPA/acetona, eliminarlo del procedimiento. Si se mantiene, usar protección respiratoria con cartucho para vapores orgánicos y </w:t>
            </w:r>
            <w:r w:rsidR="00C86AA2">
              <w:t xml:space="preserve">se recomienda </w:t>
            </w:r>
            <w:r w:rsidRPr="00AD15B0">
              <w:t>trabajar bajo extracción localizada</w:t>
            </w:r>
            <w:r w:rsidR="00C86AA2">
              <w:t xml:space="preserve"> (campana de extracción de gases).</w:t>
            </w:r>
          </w:p>
        </w:tc>
      </w:tr>
      <w:tr w:rsidR="002052E4" w:rsidRPr="00AD15B0" w14:paraId="6B2B1FB2" w14:textId="77777777" w:rsidTr="00AD15B0">
        <w:tc>
          <w:tcPr>
            <w:tcW w:w="2120" w:type="dxa"/>
            <w:tcMar>
              <w:top w:w="80" w:type="dxa"/>
              <w:left w:w="100" w:type="dxa"/>
              <w:bottom w:w="80" w:type="dxa"/>
              <w:right w:w="100" w:type="dxa"/>
            </w:tcMar>
          </w:tcPr>
          <w:p w14:paraId="039914DE" w14:textId="77777777" w:rsidR="002052E4" w:rsidRPr="00AD15B0" w:rsidRDefault="00E56BAB" w:rsidP="00AD15B0">
            <w:pPr>
              <w:jc w:val="both"/>
            </w:pPr>
            <w:r w:rsidRPr="00AD15B0">
              <w:t>Aplicación de pintura conductiva con aerógrafo (Paso 2)</w:t>
            </w:r>
          </w:p>
        </w:tc>
        <w:tc>
          <w:tcPr>
            <w:tcW w:w="4129" w:type="dxa"/>
            <w:tcMar>
              <w:top w:w="80" w:type="dxa"/>
              <w:left w:w="100" w:type="dxa"/>
              <w:bottom w:w="80" w:type="dxa"/>
              <w:right w:w="100" w:type="dxa"/>
            </w:tcMar>
          </w:tcPr>
          <w:p w14:paraId="22C2341C" w14:textId="77777777" w:rsidR="002052E4" w:rsidRPr="00AD15B0" w:rsidRDefault="00E56BAB" w:rsidP="00AD15B0">
            <w:pPr>
              <w:jc w:val="both"/>
            </w:pPr>
            <w:r w:rsidRPr="00AD15B0">
              <w:t>El aerógrafo genera un aerosol de partículas de grafito y vapor de IPA (diluyente 1:2). El documento no especifica que esta etapa deba realizarse en una cabina de pulverización o bajo extracción localizada; la única mención de ventilación está en la lista general de "Seguridad", sin asociarla a este paso.</w:t>
            </w:r>
          </w:p>
        </w:tc>
        <w:tc>
          <w:tcPr>
            <w:tcW w:w="4196" w:type="dxa"/>
            <w:tcMar>
              <w:top w:w="80" w:type="dxa"/>
              <w:left w:w="100" w:type="dxa"/>
              <w:bottom w:w="80" w:type="dxa"/>
              <w:right w:w="100" w:type="dxa"/>
            </w:tcMar>
          </w:tcPr>
          <w:p w14:paraId="0F55D723" w14:textId="77777777" w:rsidR="002052E4" w:rsidRPr="00AD15B0" w:rsidRDefault="00E56BAB" w:rsidP="00AD15B0">
            <w:pPr>
              <w:jc w:val="both"/>
            </w:pPr>
            <w:r w:rsidRPr="00AD15B0">
              <w:t>Definir explícitamente que la aplicación con aerógrafo se realice en cabina de pulverización o bajo campana con extracción, con protección respiratoria de filtro combinado (partículas + vapores orgánicos) durante esta etapa.</w:t>
            </w:r>
          </w:p>
        </w:tc>
      </w:tr>
      <w:tr w:rsidR="002052E4" w:rsidRPr="00AD15B0" w14:paraId="1AE1E0AF" w14:textId="77777777" w:rsidTr="00AD15B0">
        <w:tc>
          <w:tcPr>
            <w:tcW w:w="2120" w:type="dxa"/>
            <w:tcMar>
              <w:top w:w="80" w:type="dxa"/>
              <w:left w:w="100" w:type="dxa"/>
              <w:bottom w:w="80" w:type="dxa"/>
              <w:right w:w="100" w:type="dxa"/>
            </w:tcMar>
          </w:tcPr>
          <w:p w14:paraId="706BE287" w14:textId="77777777" w:rsidR="002052E4" w:rsidRPr="00AD15B0" w:rsidRDefault="00E56BAB" w:rsidP="00AD15B0">
            <w:pPr>
              <w:jc w:val="both"/>
            </w:pPr>
            <w:r w:rsidRPr="00AD15B0">
              <w:t>Preparación del baño ácido (Paso 4.2)</w:t>
            </w:r>
          </w:p>
        </w:tc>
        <w:tc>
          <w:tcPr>
            <w:tcW w:w="4129" w:type="dxa"/>
            <w:tcMar>
              <w:top w:w="80" w:type="dxa"/>
              <w:left w:w="100" w:type="dxa"/>
              <w:bottom w:w="80" w:type="dxa"/>
              <w:right w:w="100" w:type="dxa"/>
            </w:tcMar>
          </w:tcPr>
          <w:p w14:paraId="75DE406A" w14:textId="77777777" w:rsidR="002052E4" w:rsidRPr="00AD15B0" w:rsidRDefault="00E56BAB" w:rsidP="00AD15B0">
            <w:pPr>
              <w:jc w:val="both"/>
            </w:pPr>
            <w:r w:rsidRPr="00AD15B0">
              <w:t>La disolución de sulfato de cobre en agua tibia (~49 °C) y la posterior adición de ácido sulfúrico concentrado pueden generar nieblas ácidas, especialmente si la reacción se acelera. No se indica que esta etapa deba hacerse bajo campana de extracción de gases.</w:t>
            </w:r>
          </w:p>
        </w:tc>
        <w:tc>
          <w:tcPr>
            <w:tcW w:w="4196" w:type="dxa"/>
            <w:tcMar>
              <w:top w:w="80" w:type="dxa"/>
              <w:left w:w="100" w:type="dxa"/>
              <w:bottom w:w="80" w:type="dxa"/>
              <w:right w:w="100" w:type="dxa"/>
            </w:tcMar>
          </w:tcPr>
          <w:p w14:paraId="6A5A0795" w14:textId="77777777" w:rsidR="002052E4" w:rsidRPr="00AD15B0" w:rsidRDefault="00E56BAB" w:rsidP="00AD15B0">
            <w:pPr>
              <w:jc w:val="both"/>
            </w:pPr>
            <w:r w:rsidRPr="00AD15B0">
              <w:t>Realizar la preparación del baño bajo campana de extracción de gases o con extracción localizada, como corresponde para reacciones equivalentes con ácidos concentrados.</w:t>
            </w:r>
          </w:p>
        </w:tc>
      </w:tr>
      <w:tr w:rsidR="002052E4" w:rsidRPr="00AD15B0" w14:paraId="7805FABB" w14:textId="77777777" w:rsidTr="00AD15B0">
        <w:tc>
          <w:tcPr>
            <w:tcW w:w="2120" w:type="dxa"/>
            <w:tcMar>
              <w:top w:w="80" w:type="dxa"/>
              <w:left w:w="100" w:type="dxa"/>
              <w:bottom w:w="80" w:type="dxa"/>
              <w:right w:w="100" w:type="dxa"/>
            </w:tcMar>
          </w:tcPr>
          <w:p w14:paraId="66754F39" w14:textId="77777777" w:rsidR="002052E4" w:rsidRPr="00AD15B0" w:rsidRDefault="00E56BAB" w:rsidP="00AD15B0">
            <w:pPr>
              <w:jc w:val="both"/>
            </w:pPr>
            <w:r w:rsidRPr="00AD15B0">
              <w:t>Uso de pistola de aire comprimido (Paso 1)</w:t>
            </w:r>
          </w:p>
        </w:tc>
        <w:tc>
          <w:tcPr>
            <w:tcW w:w="4129" w:type="dxa"/>
            <w:tcMar>
              <w:top w:w="80" w:type="dxa"/>
              <w:left w:w="100" w:type="dxa"/>
              <w:bottom w:w="80" w:type="dxa"/>
              <w:right w:w="100" w:type="dxa"/>
            </w:tcMar>
          </w:tcPr>
          <w:p w14:paraId="3D6D19A5" w14:textId="77777777" w:rsidR="002052E4" w:rsidRPr="00AD15B0" w:rsidRDefault="00E56BAB" w:rsidP="00AD15B0">
            <w:pPr>
              <w:jc w:val="both"/>
            </w:pPr>
            <w:r w:rsidRPr="00AD15B0">
              <w:t xml:space="preserve">Se usa para retirar polvo tras el lijado; puede </w:t>
            </w:r>
            <w:proofErr w:type="spellStart"/>
            <w:r w:rsidRPr="00AD15B0">
              <w:t>aerosolizar</w:t>
            </w:r>
            <w:proofErr w:type="spellEnd"/>
            <w:r w:rsidRPr="00AD15B0">
              <w:t xml:space="preserve"> partículas de resina y residuos de solventes hacia el operador y el entorno.</w:t>
            </w:r>
          </w:p>
        </w:tc>
        <w:tc>
          <w:tcPr>
            <w:tcW w:w="4196" w:type="dxa"/>
            <w:tcMar>
              <w:top w:w="80" w:type="dxa"/>
              <w:left w:w="100" w:type="dxa"/>
              <w:bottom w:w="80" w:type="dxa"/>
              <w:right w:w="100" w:type="dxa"/>
            </w:tcMar>
          </w:tcPr>
          <w:p w14:paraId="1D7DA3EA" w14:textId="77777777" w:rsidR="002052E4" w:rsidRPr="00AD15B0" w:rsidRDefault="00E56BAB" w:rsidP="00AD15B0">
            <w:pPr>
              <w:jc w:val="both"/>
            </w:pPr>
            <w:r w:rsidRPr="00AD15B0">
              <w:t>Indicar el uso dentro de una zona con extracción de partículas y protección ocular/respiratoria durante esta operación.</w:t>
            </w:r>
          </w:p>
        </w:tc>
      </w:tr>
    </w:tbl>
    <w:p w14:paraId="1870D704" w14:textId="77777777" w:rsidR="002052E4" w:rsidRPr="00AD15B0" w:rsidRDefault="002052E4" w:rsidP="00AD15B0">
      <w:pPr>
        <w:spacing w:after="150"/>
        <w:jc w:val="both"/>
      </w:pPr>
    </w:p>
    <w:p w14:paraId="3BF56A54" w14:textId="73D693E0" w:rsidR="002052E4" w:rsidRPr="00AD15B0" w:rsidRDefault="00AD15B0" w:rsidP="00AD15B0">
      <w:pPr>
        <w:pStyle w:val="Ttulo1"/>
        <w:numPr>
          <w:ilvl w:val="1"/>
          <w:numId w:val="5"/>
        </w:numPr>
        <w:spacing w:before="300" w:after="150"/>
        <w:jc w:val="both"/>
        <w:rPr>
          <w:color w:val="auto"/>
          <w:sz w:val="22"/>
          <w:szCs w:val="22"/>
        </w:rPr>
      </w:pPr>
      <w:r w:rsidRPr="00AD15B0">
        <w:rPr>
          <w:color w:val="auto"/>
          <w:sz w:val="22"/>
          <w:szCs w:val="22"/>
        </w:rPr>
        <w:t>ZONAS DE TRABAJO Y RIESGO ELÉCTRICO</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00"/>
        <w:gridCol w:w="4885"/>
      </w:tblGrid>
      <w:tr w:rsidR="002052E4" w:rsidRPr="00AD15B0" w14:paraId="6959D5CF" w14:textId="77777777" w:rsidTr="00AD15B0">
        <w:trPr>
          <w:tblHeader/>
        </w:trPr>
        <w:tc>
          <w:tcPr>
            <w:tcW w:w="1900" w:type="dxa"/>
            <w:shd w:val="clear" w:color="auto" w:fill="BDD7EE"/>
            <w:tcMar>
              <w:top w:w="80" w:type="dxa"/>
              <w:left w:w="100" w:type="dxa"/>
              <w:bottom w:w="80" w:type="dxa"/>
              <w:right w:w="100" w:type="dxa"/>
            </w:tcMar>
          </w:tcPr>
          <w:p w14:paraId="50FCE2FE" w14:textId="77777777" w:rsidR="002052E4" w:rsidRPr="00AD15B0" w:rsidRDefault="00E56BAB" w:rsidP="00AD15B0">
            <w:pPr>
              <w:jc w:val="both"/>
            </w:pPr>
            <w:r w:rsidRPr="00AD15B0">
              <w:rPr>
                <w:b/>
                <w:bCs/>
              </w:rPr>
              <w:t>Punto evaluado</w:t>
            </w:r>
          </w:p>
        </w:tc>
        <w:tc>
          <w:tcPr>
            <w:tcW w:w="3700" w:type="dxa"/>
            <w:shd w:val="clear" w:color="auto" w:fill="BDD7EE"/>
            <w:tcMar>
              <w:top w:w="80" w:type="dxa"/>
              <w:left w:w="100" w:type="dxa"/>
              <w:bottom w:w="80" w:type="dxa"/>
              <w:right w:w="100" w:type="dxa"/>
            </w:tcMar>
          </w:tcPr>
          <w:p w14:paraId="109D193F" w14:textId="77777777" w:rsidR="002052E4" w:rsidRPr="00AD15B0" w:rsidRDefault="00E56BAB" w:rsidP="00AD15B0">
            <w:pPr>
              <w:jc w:val="both"/>
            </w:pPr>
            <w:r w:rsidRPr="00AD15B0">
              <w:rPr>
                <w:b/>
                <w:bCs/>
              </w:rPr>
              <w:t>Observación</w:t>
            </w:r>
          </w:p>
        </w:tc>
        <w:tc>
          <w:tcPr>
            <w:tcW w:w="4885" w:type="dxa"/>
            <w:shd w:val="clear" w:color="auto" w:fill="BDD7EE"/>
            <w:tcMar>
              <w:top w:w="80" w:type="dxa"/>
              <w:left w:w="100" w:type="dxa"/>
              <w:bottom w:w="80" w:type="dxa"/>
              <w:right w:w="100" w:type="dxa"/>
            </w:tcMar>
          </w:tcPr>
          <w:p w14:paraId="75DE39BC" w14:textId="77777777" w:rsidR="002052E4" w:rsidRPr="00AD15B0" w:rsidRDefault="00E56BAB" w:rsidP="00AD15B0">
            <w:pPr>
              <w:jc w:val="both"/>
            </w:pPr>
            <w:r w:rsidRPr="00AD15B0">
              <w:rPr>
                <w:b/>
                <w:bCs/>
              </w:rPr>
              <w:t>Recomendación</w:t>
            </w:r>
          </w:p>
        </w:tc>
      </w:tr>
      <w:tr w:rsidR="002052E4" w:rsidRPr="00AD15B0" w14:paraId="35B8FAEA" w14:textId="77777777" w:rsidTr="00AD15B0">
        <w:tc>
          <w:tcPr>
            <w:tcW w:w="1900" w:type="dxa"/>
            <w:tcMar>
              <w:top w:w="80" w:type="dxa"/>
              <w:left w:w="100" w:type="dxa"/>
              <w:bottom w:w="80" w:type="dxa"/>
              <w:right w:w="100" w:type="dxa"/>
            </w:tcMar>
          </w:tcPr>
          <w:p w14:paraId="366C516C" w14:textId="77777777" w:rsidR="002052E4" w:rsidRPr="00AD15B0" w:rsidRDefault="00E56BAB" w:rsidP="00AD15B0">
            <w:pPr>
              <w:jc w:val="both"/>
            </w:pPr>
            <w:r w:rsidRPr="00AD15B0">
              <w:t>Zonas de trabajo no definidas</w:t>
            </w:r>
          </w:p>
        </w:tc>
        <w:tc>
          <w:tcPr>
            <w:tcW w:w="3700" w:type="dxa"/>
            <w:tcMar>
              <w:top w:w="80" w:type="dxa"/>
              <w:left w:w="100" w:type="dxa"/>
              <w:bottom w:w="80" w:type="dxa"/>
              <w:right w:w="100" w:type="dxa"/>
            </w:tcMar>
          </w:tcPr>
          <w:p w14:paraId="747C734C" w14:textId="77777777" w:rsidR="002052E4" w:rsidRPr="00AD15B0" w:rsidRDefault="00E56BAB" w:rsidP="00AD15B0">
            <w:pPr>
              <w:jc w:val="both"/>
            </w:pPr>
            <w:r w:rsidRPr="00AD15B0">
              <w:t>El documento no delimita dónde debe ejecutarse cada etapa (mesón general, cabina de pulverización, campana de gases, zona de electrodeposición), algo que conviene precisar en cualquier POE.</w:t>
            </w:r>
          </w:p>
        </w:tc>
        <w:tc>
          <w:tcPr>
            <w:tcW w:w="4885" w:type="dxa"/>
            <w:tcMar>
              <w:top w:w="80" w:type="dxa"/>
              <w:left w:w="100" w:type="dxa"/>
              <w:bottom w:w="80" w:type="dxa"/>
              <w:right w:w="100" w:type="dxa"/>
            </w:tcMar>
          </w:tcPr>
          <w:p w14:paraId="65602D5B" w14:textId="77777777" w:rsidR="002052E4" w:rsidRPr="00AD15B0" w:rsidRDefault="00E56BAB" w:rsidP="00AD15B0">
            <w:pPr>
              <w:jc w:val="both"/>
            </w:pPr>
            <w:r w:rsidRPr="00AD15B0">
              <w:t>Incorporar una sección de "Zonas de trabajo" que indique explícitamente: cabina de pulverización para el Paso 2, campana de extracción para el Paso 4, y una estación de electrodeposición (Paso 5) separada de fuentes de ignición.</w:t>
            </w:r>
          </w:p>
        </w:tc>
      </w:tr>
      <w:tr w:rsidR="002052E4" w:rsidRPr="00AD15B0" w14:paraId="646A11C1" w14:textId="77777777" w:rsidTr="00AD15B0">
        <w:tc>
          <w:tcPr>
            <w:tcW w:w="1900" w:type="dxa"/>
            <w:tcMar>
              <w:top w:w="80" w:type="dxa"/>
              <w:left w:w="100" w:type="dxa"/>
              <w:bottom w:w="80" w:type="dxa"/>
              <w:right w:w="100" w:type="dxa"/>
            </w:tcMar>
          </w:tcPr>
          <w:p w14:paraId="147EAA58" w14:textId="77777777" w:rsidR="002052E4" w:rsidRPr="00AD15B0" w:rsidRDefault="00E56BAB" w:rsidP="00AD15B0">
            <w:pPr>
              <w:jc w:val="both"/>
            </w:pPr>
            <w:r w:rsidRPr="00AD15B0">
              <w:t>Riesgo eléctrico junto a líquido conductor</w:t>
            </w:r>
          </w:p>
        </w:tc>
        <w:tc>
          <w:tcPr>
            <w:tcW w:w="3700" w:type="dxa"/>
            <w:tcMar>
              <w:top w:w="80" w:type="dxa"/>
              <w:left w:w="100" w:type="dxa"/>
              <w:bottom w:w="80" w:type="dxa"/>
              <w:right w:w="100" w:type="dxa"/>
            </w:tcMar>
          </w:tcPr>
          <w:p w14:paraId="5A59A272" w14:textId="77777777" w:rsidR="002052E4" w:rsidRPr="00AD15B0" w:rsidRDefault="00E56BAB" w:rsidP="00AD15B0">
            <w:pPr>
              <w:jc w:val="both"/>
            </w:pPr>
            <w:r w:rsidRPr="00AD15B0">
              <w:t>La electrodeposición usa una fuente DC/rectificador operando durante 1 a 1.5 horas junto a un tanque de 10 L de electrolito conductor (ácido + sales de cobre). No se menciona puesta a tierra, protección diferencial, ni la prohibición de manipular las conexiones con manos húmedas o en presencia de derrames.</w:t>
            </w:r>
          </w:p>
        </w:tc>
        <w:tc>
          <w:tcPr>
            <w:tcW w:w="4885" w:type="dxa"/>
            <w:tcMar>
              <w:top w:w="80" w:type="dxa"/>
              <w:left w:w="100" w:type="dxa"/>
              <w:bottom w:w="80" w:type="dxa"/>
              <w:right w:w="100" w:type="dxa"/>
            </w:tcMar>
          </w:tcPr>
          <w:p w14:paraId="3BB9DD42" w14:textId="77777777" w:rsidR="002052E4" w:rsidRPr="00AD15B0" w:rsidRDefault="00E56BAB" w:rsidP="00AD15B0">
            <w:pPr>
              <w:jc w:val="both"/>
            </w:pPr>
            <w:r w:rsidRPr="00AD15B0">
              <w:t>Agregar una advertencia específica de riesgo eléctrico: fuente con protección diferencial, conexiones alejadas del líquido, y prohibición de operar el equipo con manos húmedas o derrames sin controlar.</w:t>
            </w:r>
          </w:p>
        </w:tc>
      </w:tr>
      <w:tr w:rsidR="002052E4" w:rsidRPr="00AD15B0" w14:paraId="65FCCA33" w14:textId="77777777" w:rsidTr="00AD15B0">
        <w:tc>
          <w:tcPr>
            <w:tcW w:w="1900" w:type="dxa"/>
            <w:tcMar>
              <w:top w:w="80" w:type="dxa"/>
              <w:left w:w="100" w:type="dxa"/>
              <w:bottom w:w="80" w:type="dxa"/>
              <w:right w:w="100" w:type="dxa"/>
            </w:tcMar>
          </w:tcPr>
          <w:p w14:paraId="5437FEB7" w14:textId="77777777" w:rsidR="002052E4" w:rsidRPr="00AD15B0" w:rsidRDefault="00E56BAB" w:rsidP="00AD15B0">
            <w:pPr>
              <w:jc w:val="both"/>
            </w:pPr>
            <w:r w:rsidRPr="00AD15B0">
              <w:t>Contención secundaria del tanque</w:t>
            </w:r>
          </w:p>
        </w:tc>
        <w:tc>
          <w:tcPr>
            <w:tcW w:w="3700" w:type="dxa"/>
            <w:tcMar>
              <w:top w:w="80" w:type="dxa"/>
              <w:left w:w="100" w:type="dxa"/>
              <w:bottom w:w="80" w:type="dxa"/>
              <w:right w:w="100" w:type="dxa"/>
            </w:tcMar>
          </w:tcPr>
          <w:p w14:paraId="03339803" w14:textId="77777777" w:rsidR="002052E4" w:rsidRPr="00AD15B0" w:rsidRDefault="00E56BAB" w:rsidP="00AD15B0">
            <w:pPr>
              <w:jc w:val="both"/>
            </w:pPr>
            <w:r w:rsidRPr="00AD15B0">
              <w:t xml:space="preserve">No se especifica el uso de una bandeja o cubeta de contención bajo el tanque de 10 L </w:t>
            </w:r>
            <w:r w:rsidRPr="00AD15B0">
              <w:lastRenderedPageBreak/>
              <w:t>de electrolito ácido durante la preparación y las 1 a 1.5 horas de electrodeposición.</w:t>
            </w:r>
          </w:p>
        </w:tc>
        <w:tc>
          <w:tcPr>
            <w:tcW w:w="4885" w:type="dxa"/>
            <w:tcMar>
              <w:top w:w="80" w:type="dxa"/>
              <w:left w:w="100" w:type="dxa"/>
              <w:bottom w:w="80" w:type="dxa"/>
              <w:right w:w="100" w:type="dxa"/>
            </w:tcMar>
          </w:tcPr>
          <w:p w14:paraId="6D5B6349" w14:textId="77777777" w:rsidR="002052E4" w:rsidRPr="00AD15B0" w:rsidRDefault="00E56BAB" w:rsidP="00AD15B0">
            <w:pPr>
              <w:jc w:val="both"/>
            </w:pPr>
            <w:r w:rsidRPr="00AD15B0">
              <w:lastRenderedPageBreak/>
              <w:t>Ubicar el tanque sobre una bandeja de contención de volumen suficiente para retener el contenido completo en caso de fuga o vuelco.</w:t>
            </w:r>
          </w:p>
        </w:tc>
      </w:tr>
    </w:tbl>
    <w:p w14:paraId="00EA844B" w14:textId="77777777" w:rsidR="002052E4" w:rsidRPr="00AD15B0" w:rsidRDefault="002052E4" w:rsidP="00AD15B0">
      <w:pPr>
        <w:spacing w:after="150"/>
        <w:jc w:val="both"/>
      </w:pPr>
    </w:p>
    <w:p w14:paraId="3FE1E2A0" w14:textId="65585723" w:rsidR="002052E4" w:rsidRPr="00AD15B0" w:rsidRDefault="00AD15B0" w:rsidP="00AD15B0">
      <w:pPr>
        <w:pStyle w:val="Ttulo1"/>
        <w:numPr>
          <w:ilvl w:val="1"/>
          <w:numId w:val="5"/>
        </w:numPr>
        <w:spacing w:before="300" w:after="150"/>
        <w:jc w:val="both"/>
        <w:rPr>
          <w:color w:val="auto"/>
          <w:sz w:val="22"/>
          <w:szCs w:val="22"/>
        </w:rPr>
      </w:pPr>
      <w:r w:rsidRPr="00AD15B0">
        <w:rPr>
          <w:color w:val="auto"/>
          <w:sz w:val="22"/>
          <w:szCs w:val="22"/>
        </w:rPr>
        <w:t>EQUIPO DE PROTECCIÓN PERSONAL (EPP)</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00"/>
        <w:gridCol w:w="4885"/>
      </w:tblGrid>
      <w:tr w:rsidR="002052E4" w:rsidRPr="00AD15B0" w14:paraId="24E433C0" w14:textId="77777777" w:rsidTr="00AD15B0">
        <w:trPr>
          <w:tblHeader/>
        </w:trPr>
        <w:tc>
          <w:tcPr>
            <w:tcW w:w="1900" w:type="dxa"/>
            <w:shd w:val="clear" w:color="auto" w:fill="BDD7EE"/>
            <w:tcMar>
              <w:top w:w="80" w:type="dxa"/>
              <w:left w:w="100" w:type="dxa"/>
              <w:bottom w:w="80" w:type="dxa"/>
              <w:right w:w="100" w:type="dxa"/>
            </w:tcMar>
          </w:tcPr>
          <w:p w14:paraId="57BFE280" w14:textId="77777777" w:rsidR="002052E4" w:rsidRPr="00AD15B0" w:rsidRDefault="00E56BAB" w:rsidP="00AD15B0">
            <w:pPr>
              <w:jc w:val="both"/>
            </w:pPr>
            <w:r w:rsidRPr="00AD15B0">
              <w:rPr>
                <w:b/>
                <w:bCs/>
              </w:rPr>
              <w:t>Punto evaluado</w:t>
            </w:r>
          </w:p>
        </w:tc>
        <w:tc>
          <w:tcPr>
            <w:tcW w:w="3700" w:type="dxa"/>
            <w:shd w:val="clear" w:color="auto" w:fill="BDD7EE"/>
            <w:tcMar>
              <w:top w:w="80" w:type="dxa"/>
              <w:left w:w="100" w:type="dxa"/>
              <w:bottom w:w="80" w:type="dxa"/>
              <w:right w:w="100" w:type="dxa"/>
            </w:tcMar>
          </w:tcPr>
          <w:p w14:paraId="77612DA6" w14:textId="77777777" w:rsidR="002052E4" w:rsidRPr="00AD15B0" w:rsidRDefault="00E56BAB" w:rsidP="00AD15B0">
            <w:pPr>
              <w:jc w:val="both"/>
            </w:pPr>
            <w:r w:rsidRPr="00AD15B0">
              <w:rPr>
                <w:b/>
                <w:bCs/>
              </w:rPr>
              <w:t>Observación</w:t>
            </w:r>
          </w:p>
        </w:tc>
        <w:tc>
          <w:tcPr>
            <w:tcW w:w="4885" w:type="dxa"/>
            <w:shd w:val="clear" w:color="auto" w:fill="BDD7EE"/>
            <w:tcMar>
              <w:top w:w="80" w:type="dxa"/>
              <w:left w:w="100" w:type="dxa"/>
              <w:bottom w:w="80" w:type="dxa"/>
              <w:right w:w="100" w:type="dxa"/>
            </w:tcMar>
          </w:tcPr>
          <w:p w14:paraId="662141BF" w14:textId="77777777" w:rsidR="002052E4" w:rsidRPr="00AD15B0" w:rsidRDefault="00E56BAB" w:rsidP="00AD15B0">
            <w:pPr>
              <w:jc w:val="both"/>
            </w:pPr>
            <w:r w:rsidRPr="00AD15B0">
              <w:rPr>
                <w:b/>
                <w:bCs/>
              </w:rPr>
              <w:t>Recomendación</w:t>
            </w:r>
          </w:p>
        </w:tc>
      </w:tr>
      <w:tr w:rsidR="002052E4" w:rsidRPr="00AD15B0" w14:paraId="0B474170" w14:textId="77777777" w:rsidTr="00AD15B0">
        <w:tc>
          <w:tcPr>
            <w:tcW w:w="1900" w:type="dxa"/>
            <w:tcMar>
              <w:top w:w="80" w:type="dxa"/>
              <w:left w:w="100" w:type="dxa"/>
              <w:bottom w:w="80" w:type="dxa"/>
              <w:right w:w="100" w:type="dxa"/>
            </w:tcMar>
          </w:tcPr>
          <w:p w14:paraId="61A20DC9" w14:textId="77777777" w:rsidR="002052E4" w:rsidRPr="00AD15B0" w:rsidRDefault="00E56BAB" w:rsidP="00AD15B0">
            <w:pPr>
              <w:jc w:val="both"/>
            </w:pPr>
            <w:r w:rsidRPr="00AD15B0">
              <w:t>EPP no vinculado a cada etapa</w:t>
            </w:r>
          </w:p>
        </w:tc>
        <w:tc>
          <w:tcPr>
            <w:tcW w:w="3700" w:type="dxa"/>
            <w:tcMar>
              <w:top w:w="80" w:type="dxa"/>
              <w:left w:w="100" w:type="dxa"/>
              <w:bottom w:w="80" w:type="dxa"/>
              <w:right w:w="100" w:type="dxa"/>
            </w:tcMar>
          </w:tcPr>
          <w:p w14:paraId="20F7CB56" w14:textId="77777777" w:rsidR="002052E4" w:rsidRPr="00AD15B0" w:rsidRDefault="00E56BAB" w:rsidP="00AD15B0">
            <w:pPr>
              <w:jc w:val="both"/>
            </w:pPr>
            <w:r w:rsidRPr="00AD15B0">
              <w:t>La sección "Seguridad" de la lista de materiales menciona guantes de nitrilo grueso, gafas y delantal de forma general, pero el detalle paso a paso solo indica "guantes de nitrilo, gafas de seguridad" (sin especificar espesor) para la preparación de superficie.</w:t>
            </w:r>
          </w:p>
        </w:tc>
        <w:tc>
          <w:tcPr>
            <w:tcW w:w="4885" w:type="dxa"/>
            <w:tcMar>
              <w:top w:w="80" w:type="dxa"/>
              <w:left w:w="100" w:type="dxa"/>
              <w:bottom w:w="80" w:type="dxa"/>
              <w:right w:w="100" w:type="dxa"/>
            </w:tcMar>
          </w:tcPr>
          <w:p w14:paraId="5D406A9F" w14:textId="77777777" w:rsidR="002052E4" w:rsidRPr="00AD15B0" w:rsidRDefault="00E56BAB" w:rsidP="00AD15B0">
            <w:pPr>
              <w:jc w:val="both"/>
            </w:pPr>
            <w:r w:rsidRPr="00AD15B0">
              <w:t>Especificar el EPP requerido en cada paso del procedimiento, diferenciando el guante fino para solventes del guante grueso necesario para la manipulación de ácido concentrado.</w:t>
            </w:r>
          </w:p>
        </w:tc>
      </w:tr>
      <w:tr w:rsidR="002052E4" w:rsidRPr="00AD15B0" w14:paraId="53615B3F" w14:textId="77777777" w:rsidTr="00AD15B0">
        <w:tc>
          <w:tcPr>
            <w:tcW w:w="1900" w:type="dxa"/>
            <w:tcMar>
              <w:top w:w="80" w:type="dxa"/>
              <w:left w:w="100" w:type="dxa"/>
              <w:bottom w:w="80" w:type="dxa"/>
              <w:right w:w="100" w:type="dxa"/>
            </w:tcMar>
          </w:tcPr>
          <w:p w14:paraId="47A619D6" w14:textId="77777777" w:rsidR="002052E4" w:rsidRPr="00AD15B0" w:rsidRDefault="00E56BAB" w:rsidP="00AD15B0">
            <w:pPr>
              <w:jc w:val="both"/>
            </w:pPr>
            <w:r w:rsidRPr="00AD15B0">
              <w:t>Protección ocular durante adición de ácido</w:t>
            </w:r>
          </w:p>
        </w:tc>
        <w:tc>
          <w:tcPr>
            <w:tcW w:w="3700" w:type="dxa"/>
            <w:tcMar>
              <w:top w:w="80" w:type="dxa"/>
              <w:left w:w="100" w:type="dxa"/>
              <w:bottom w:w="80" w:type="dxa"/>
              <w:right w:w="100" w:type="dxa"/>
            </w:tcMar>
          </w:tcPr>
          <w:p w14:paraId="4A3A10C4" w14:textId="77777777" w:rsidR="002052E4" w:rsidRPr="00AD15B0" w:rsidRDefault="00E56BAB" w:rsidP="00AD15B0">
            <w:pPr>
              <w:jc w:val="both"/>
            </w:pPr>
            <w:r w:rsidRPr="00AD15B0">
              <w:t>Se indica "gafas de seguridad" de forma genérica; para la manipulación de 0.70 L de ácido sulfúrico al 98% el riesgo de salpicadura corrosiva es alto.</w:t>
            </w:r>
          </w:p>
        </w:tc>
        <w:tc>
          <w:tcPr>
            <w:tcW w:w="4885" w:type="dxa"/>
            <w:tcMar>
              <w:top w:w="80" w:type="dxa"/>
              <w:left w:w="100" w:type="dxa"/>
              <w:bottom w:w="80" w:type="dxa"/>
              <w:right w:w="100" w:type="dxa"/>
            </w:tcMar>
          </w:tcPr>
          <w:p w14:paraId="30A209DE" w14:textId="77777777" w:rsidR="002052E4" w:rsidRPr="00AD15B0" w:rsidRDefault="00E56BAB" w:rsidP="00AD15B0">
            <w:pPr>
              <w:jc w:val="both"/>
            </w:pPr>
            <w:r w:rsidRPr="00AD15B0">
              <w:t>Usar antiparras químicas de sello hermético más protector facial (pantalla) durante la preparación del baño (Paso 4), no solo gafas de seguridad.</w:t>
            </w:r>
          </w:p>
        </w:tc>
      </w:tr>
      <w:tr w:rsidR="002052E4" w:rsidRPr="00AD15B0" w14:paraId="6EE1484E" w14:textId="77777777" w:rsidTr="00AD15B0">
        <w:tc>
          <w:tcPr>
            <w:tcW w:w="1900" w:type="dxa"/>
            <w:tcMar>
              <w:top w:w="80" w:type="dxa"/>
              <w:left w:w="100" w:type="dxa"/>
              <w:bottom w:w="80" w:type="dxa"/>
              <w:right w:w="100" w:type="dxa"/>
            </w:tcMar>
          </w:tcPr>
          <w:p w14:paraId="58F6524F" w14:textId="77777777" w:rsidR="002052E4" w:rsidRPr="00AD15B0" w:rsidRDefault="00E56BAB" w:rsidP="00AD15B0">
            <w:pPr>
              <w:jc w:val="both"/>
            </w:pPr>
            <w:r w:rsidRPr="00AD15B0">
              <w:t>Ausencia de bata de laboratorio y protección corporal</w:t>
            </w:r>
          </w:p>
        </w:tc>
        <w:tc>
          <w:tcPr>
            <w:tcW w:w="3700" w:type="dxa"/>
            <w:tcMar>
              <w:top w:w="80" w:type="dxa"/>
              <w:left w:w="100" w:type="dxa"/>
              <w:bottom w:w="80" w:type="dxa"/>
              <w:right w:w="100" w:type="dxa"/>
            </w:tcMar>
          </w:tcPr>
          <w:p w14:paraId="7CC0730B" w14:textId="77777777" w:rsidR="002052E4" w:rsidRPr="00AD15B0" w:rsidRDefault="00E56BAB" w:rsidP="00AD15B0">
            <w:pPr>
              <w:jc w:val="both"/>
            </w:pPr>
            <w:r w:rsidRPr="00AD15B0">
              <w:t>No se menciona bata de laboratorio ni delantal en el detalle de los pasos, pese a que la lista general de "Seguridad" sí incluye delantal.</w:t>
            </w:r>
          </w:p>
        </w:tc>
        <w:tc>
          <w:tcPr>
            <w:tcW w:w="4885" w:type="dxa"/>
            <w:tcMar>
              <w:top w:w="80" w:type="dxa"/>
              <w:left w:w="100" w:type="dxa"/>
              <w:bottom w:w="80" w:type="dxa"/>
              <w:right w:w="100" w:type="dxa"/>
            </w:tcMar>
          </w:tcPr>
          <w:p w14:paraId="7E0A5EBC" w14:textId="77777777" w:rsidR="002052E4" w:rsidRPr="00AD15B0" w:rsidRDefault="00E56BAB" w:rsidP="00AD15B0">
            <w:pPr>
              <w:jc w:val="both"/>
            </w:pPr>
            <w:r w:rsidRPr="00AD15B0">
              <w:t>Usar bata de laboratorio de manga larga en todas las etapas y delantal resistente a ácidos durante la preparación y manipulación del baño electrolítico.</w:t>
            </w:r>
          </w:p>
        </w:tc>
      </w:tr>
      <w:tr w:rsidR="002052E4" w:rsidRPr="00AD15B0" w14:paraId="4A9A791C" w14:textId="77777777" w:rsidTr="00AD15B0">
        <w:tc>
          <w:tcPr>
            <w:tcW w:w="1900" w:type="dxa"/>
            <w:tcMar>
              <w:top w:w="80" w:type="dxa"/>
              <w:left w:w="100" w:type="dxa"/>
              <w:bottom w:w="80" w:type="dxa"/>
              <w:right w:w="100" w:type="dxa"/>
            </w:tcMar>
          </w:tcPr>
          <w:p w14:paraId="539FDBD6" w14:textId="77777777" w:rsidR="002052E4" w:rsidRPr="00AD15B0" w:rsidRDefault="00E56BAB" w:rsidP="00AD15B0">
            <w:pPr>
              <w:jc w:val="both"/>
            </w:pPr>
            <w:r w:rsidRPr="00AD15B0">
              <w:t>Calzado y cabello/accesorios</w:t>
            </w:r>
          </w:p>
        </w:tc>
        <w:tc>
          <w:tcPr>
            <w:tcW w:w="3700" w:type="dxa"/>
            <w:tcMar>
              <w:top w:w="80" w:type="dxa"/>
              <w:left w:w="100" w:type="dxa"/>
              <w:bottom w:w="80" w:type="dxa"/>
              <w:right w:w="100" w:type="dxa"/>
            </w:tcMar>
          </w:tcPr>
          <w:p w14:paraId="36C17231" w14:textId="77777777" w:rsidR="002052E4" w:rsidRPr="00AD15B0" w:rsidRDefault="00E56BAB" w:rsidP="00AD15B0">
            <w:pPr>
              <w:jc w:val="both"/>
            </w:pPr>
            <w:r w:rsidRPr="00AD15B0">
              <w:t>El documento no menciona requisitos de calzado cerrado ni recogida de cabello.</w:t>
            </w:r>
          </w:p>
        </w:tc>
        <w:tc>
          <w:tcPr>
            <w:tcW w:w="4885" w:type="dxa"/>
            <w:tcMar>
              <w:top w:w="80" w:type="dxa"/>
              <w:left w:w="100" w:type="dxa"/>
              <w:bottom w:w="80" w:type="dxa"/>
              <w:right w:w="100" w:type="dxa"/>
            </w:tcMar>
          </w:tcPr>
          <w:p w14:paraId="36468649" w14:textId="77777777" w:rsidR="002052E4" w:rsidRPr="00AD15B0" w:rsidRDefault="00E56BAB" w:rsidP="00AD15B0">
            <w:pPr>
              <w:jc w:val="both"/>
            </w:pPr>
            <w:r w:rsidRPr="00AD15B0">
              <w:t>Incorporar estos requisitos básicos, especialmente relevantes por el uso de una pistola de aire comprimido y equipos eléctricos.</w:t>
            </w:r>
          </w:p>
        </w:tc>
      </w:tr>
    </w:tbl>
    <w:p w14:paraId="2324F1CD" w14:textId="77777777" w:rsidR="002052E4" w:rsidRDefault="002052E4" w:rsidP="00AD15B0">
      <w:pPr>
        <w:spacing w:after="150"/>
        <w:jc w:val="both"/>
      </w:pPr>
    </w:p>
    <w:p w14:paraId="5B5D1C03" w14:textId="5EEB384F" w:rsidR="002052E4" w:rsidRPr="00AD15B0" w:rsidRDefault="00AD15B0" w:rsidP="00AD15B0">
      <w:pPr>
        <w:pStyle w:val="Ttulo1"/>
        <w:numPr>
          <w:ilvl w:val="1"/>
          <w:numId w:val="5"/>
        </w:numPr>
        <w:spacing w:before="300" w:after="150"/>
        <w:jc w:val="both"/>
        <w:rPr>
          <w:color w:val="auto"/>
          <w:sz w:val="22"/>
          <w:szCs w:val="22"/>
        </w:rPr>
      </w:pPr>
      <w:r w:rsidRPr="00AD15B0">
        <w:rPr>
          <w:color w:val="auto"/>
          <w:sz w:val="22"/>
          <w:szCs w:val="22"/>
        </w:rPr>
        <w:t>GESTIÓN DE RESIDUOS PELIGROSOS</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00"/>
        <w:gridCol w:w="4885"/>
      </w:tblGrid>
      <w:tr w:rsidR="002052E4" w:rsidRPr="00AD15B0" w14:paraId="1D4F0AC7" w14:textId="77777777" w:rsidTr="00AD15B0">
        <w:trPr>
          <w:tblHeader/>
        </w:trPr>
        <w:tc>
          <w:tcPr>
            <w:tcW w:w="1900" w:type="dxa"/>
            <w:shd w:val="clear" w:color="auto" w:fill="BDD7EE"/>
            <w:tcMar>
              <w:top w:w="80" w:type="dxa"/>
              <w:left w:w="100" w:type="dxa"/>
              <w:bottom w:w="80" w:type="dxa"/>
              <w:right w:w="100" w:type="dxa"/>
            </w:tcMar>
          </w:tcPr>
          <w:p w14:paraId="1E08976D" w14:textId="77777777" w:rsidR="002052E4" w:rsidRPr="00AD15B0" w:rsidRDefault="00E56BAB" w:rsidP="00AD15B0">
            <w:pPr>
              <w:jc w:val="both"/>
            </w:pPr>
            <w:r w:rsidRPr="00AD15B0">
              <w:rPr>
                <w:b/>
                <w:bCs/>
              </w:rPr>
              <w:t>Punto evaluado</w:t>
            </w:r>
          </w:p>
        </w:tc>
        <w:tc>
          <w:tcPr>
            <w:tcW w:w="3700" w:type="dxa"/>
            <w:shd w:val="clear" w:color="auto" w:fill="BDD7EE"/>
            <w:tcMar>
              <w:top w:w="80" w:type="dxa"/>
              <w:left w:w="100" w:type="dxa"/>
              <w:bottom w:w="80" w:type="dxa"/>
              <w:right w:w="100" w:type="dxa"/>
            </w:tcMar>
          </w:tcPr>
          <w:p w14:paraId="4AA5FF7F" w14:textId="77777777" w:rsidR="002052E4" w:rsidRPr="00AD15B0" w:rsidRDefault="00E56BAB" w:rsidP="00AD15B0">
            <w:pPr>
              <w:jc w:val="both"/>
            </w:pPr>
            <w:r w:rsidRPr="00AD15B0">
              <w:rPr>
                <w:b/>
                <w:bCs/>
              </w:rPr>
              <w:t>Observación</w:t>
            </w:r>
          </w:p>
        </w:tc>
        <w:tc>
          <w:tcPr>
            <w:tcW w:w="4885" w:type="dxa"/>
            <w:shd w:val="clear" w:color="auto" w:fill="BDD7EE"/>
            <w:tcMar>
              <w:top w:w="80" w:type="dxa"/>
              <w:left w:w="100" w:type="dxa"/>
              <w:bottom w:w="80" w:type="dxa"/>
              <w:right w:w="100" w:type="dxa"/>
            </w:tcMar>
          </w:tcPr>
          <w:p w14:paraId="5D478F3D" w14:textId="77777777" w:rsidR="002052E4" w:rsidRPr="00AD15B0" w:rsidRDefault="00E56BAB" w:rsidP="00AD15B0">
            <w:pPr>
              <w:jc w:val="both"/>
            </w:pPr>
            <w:r w:rsidRPr="00AD15B0">
              <w:rPr>
                <w:b/>
                <w:bCs/>
              </w:rPr>
              <w:t>Recomendación</w:t>
            </w:r>
          </w:p>
        </w:tc>
      </w:tr>
      <w:tr w:rsidR="002052E4" w:rsidRPr="00AD15B0" w14:paraId="58E25680" w14:textId="77777777" w:rsidTr="00AD15B0">
        <w:tc>
          <w:tcPr>
            <w:tcW w:w="1900" w:type="dxa"/>
            <w:tcMar>
              <w:top w:w="80" w:type="dxa"/>
              <w:left w:w="100" w:type="dxa"/>
              <w:bottom w:w="80" w:type="dxa"/>
              <w:right w:w="100" w:type="dxa"/>
            </w:tcMar>
          </w:tcPr>
          <w:p w14:paraId="7C5D322E" w14:textId="77777777" w:rsidR="002052E4" w:rsidRPr="00AD15B0" w:rsidRDefault="00E56BAB" w:rsidP="00AD15B0">
            <w:pPr>
              <w:jc w:val="both"/>
            </w:pPr>
            <w:r w:rsidRPr="00AD15B0">
              <w:t>Ausencia total de sección de residuos</w:t>
            </w:r>
          </w:p>
        </w:tc>
        <w:tc>
          <w:tcPr>
            <w:tcW w:w="3700" w:type="dxa"/>
            <w:tcMar>
              <w:top w:w="80" w:type="dxa"/>
              <w:left w:w="100" w:type="dxa"/>
              <w:bottom w:w="80" w:type="dxa"/>
              <w:right w:w="100" w:type="dxa"/>
            </w:tcMar>
          </w:tcPr>
          <w:p w14:paraId="1E5B1044" w14:textId="77777777" w:rsidR="002052E4" w:rsidRPr="00AD15B0" w:rsidRDefault="00E56BAB" w:rsidP="00AD15B0">
            <w:pPr>
              <w:jc w:val="both"/>
            </w:pPr>
            <w:r w:rsidRPr="00AD15B0">
              <w:t>El documento no incluye ninguna instrucción sobre qué hacer con los residuos generados por el proceso.</w:t>
            </w:r>
          </w:p>
        </w:tc>
        <w:tc>
          <w:tcPr>
            <w:tcW w:w="4885" w:type="dxa"/>
            <w:tcMar>
              <w:top w:w="80" w:type="dxa"/>
              <w:left w:w="100" w:type="dxa"/>
              <w:bottom w:w="80" w:type="dxa"/>
              <w:right w:w="100" w:type="dxa"/>
            </w:tcMar>
          </w:tcPr>
          <w:p w14:paraId="268BB66E" w14:textId="77777777" w:rsidR="002052E4" w:rsidRPr="00AD15B0" w:rsidRDefault="00E56BAB" w:rsidP="00AD15B0">
            <w:pPr>
              <w:jc w:val="both"/>
            </w:pPr>
            <w:r w:rsidRPr="00AD15B0">
              <w:t>Incorporar una sección completa de gestión de residuos antes de ejecutar el procedimiento (ver puntos siguientes).</w:t>
            </w:r>
          </w:p>
        </w:tc>
      </w:tr>
      <w:tr w:rsidR="002052E4" w:rsidRPr="00AD15B0" w14:paraId="46492286" w14:textId="77777777" w:rsidTr="00AD15B0">
        <w:tc>
          <w:tcPr>
            <w:tcW w:w="1900" w:type="dxa"/>
            <w:tcMar>
              <w:top w:w="80" w:type="dxa"/>
              <w:left w:w="100" w:type="dxa"/>
              <w:bottom w:w="80" w:type="dxa"/>
              <w:right w:w="100" w:type="dxa"/>
            </w:tcMar>
          </w:tcPr>
          <w:p w14:paraId="7E1D63B5" w14:textId="77777777" w:rsidR="002052E4" w:rsidRPr="00AD15B0" w:rsidRDefault="00E56BAB" w:rsidP="00AD15B0">
            <w:pPr>
              <w:jc w:val="both"/>
            </w:pPr>
            <w:r w:rsidRPr="00AD15B0">
              <w:t>Baño electrolítico agotado (ácido + cobre)</w:t>
            </w:r>
          </w:p>
        </w:tc>
        <w:tc>
          <w:tcPr>
            <w:tcW w:w="3700" w:type="dxa"/>
            <w:tcMar>
              <w:top w:w="80" w:type="dxa"/>
              <w:left w:w="100" w:type="dxa"/>
              <w:bottom w:w="80" w:type="dxa"/>
              <w:right w:w="100" w:type="dxa"/>
            </w:tcMar>
          </w:tcPr>
          <w:p w14:paraId="48871695" w14:textId="77777777" w:rsidR="002052E4" w:rsidRPr="00AD15B0" w:rsidRDefault="00E56BAB" w:rsidP="00AD15B0">
            <w:pPr>
              <w:jc w:val="both"/>
            </w:pPr>
            <w:r w:rsidRPr="00AD15B0">
              <w:t>El baño usado contiene ácido sulfúrico y sales de cobre disuelto (metal pesado); no puede eliminarse por el desagüe bajo ninguna circunstancia.</w:t>
            </w:r>
          </w:p>
        </w:tc>
        <w:tc>
          <w:tcPr>
            <w:tcW w:w="4885" w:type="dxa"/>
            <w:tcMar>
              <w:top w:w="80" w:type="dxa"/>
              <w:left w:w="100" w:type="dxa"/>
              <w:bottom w:w="80" w:type="dxa"/>
              <w:right w:w="100" w:type="dxa"/>
            </w:tcMar>
          </w:tcPr>
          <w:p w14:paraId="017A277A" w14:textId="77777777" w:rsidR="002052E4" w:rsidRPr="00AD15B0" w:rsidRDefault="00E56BAB" w:rsidP="00AD15B0">
            <w:pPr>
              <w:jc w:val="both"/>
            </w:pPr>
            <w:r w:rsidRPr="00AD15B0">
              <w:t>Recolectar en contenedor rotulado como "residuo peligroso — ácido/metal pesado", segregado de residuos orgánicos, y disponer a través de un gestor autorizado conforme al procedimiento institucional de residuos peligrosos.</w:t>
            </w:r>
          </w:p>
        </w:tc>
      </w:tr>
      <w:tr w:rsidR="002052E4" w:rsidRPr="00AD15B0" w14:paraId="3E71445B" w14:textId="77777777" w:rsidTr="00AD15B0">
        <w:tc>
          <w:tcPr>
            <w:tcW w:w="1900" w:type="dxa"/>
            <w:tcMar>
              <w:top w:w="80" w:type="dxa"/>
              <w:left w:w="100" w:type="dxa"/>
              <w:bottom w:w="80" w:type="dxa"/>
              <w:right w:w="100" w:type="dxa"/>
            </w:tcMar>
          </w:tcPr>
          <w:p w14:paraId="7EBE5927" w14:textId="77777777" w:rsidR="002052E4" w:rsidRPr="00AD15B0" w:rsidRDefault="00E56BAB" w:rsidP="00AD15B0">
            <w:pPr>
              <w:jc w:val="both"/>
            </w:pPr>
            <w:r w:rsidRPr="00AD15B0">
              <w:t>Agua de enjuague (Paso 6)</w:t>
            </w:r>
          </w:p>
        </w:tc>
        <w:tc>
          <w:tcPr>
            <w:tcW w:w="3700" w:type="dxa"/>
            <w:tcMar>
              <w:top w:w="80" w:type="dxa"/>
              <w:left w:w="100" w:type="dxa"/>
              <w:bottom w:w="80" w:type="dxa"/>
              <w:right w:w="100" w:type="dxa"/>
            </w:tcMar>
          </w:tcPr>
          <w:p w14:paraId="676F16BD" w14:textId="77777777" w:rsidR="002052E4" w:rsidRPr="00AD15B0" w:rsidRDefault="00E56BAB" w:rsidP="00AD15B0">
            <w:pPr>
              <w:jc w:val="both"/>
            </w:pPr>
            <w:r w:rsidRPr="00AD15B0">
              <w:t>El agua de enjuague de la pieza metalizada contiene trazas de cobre y acidez residual; el documento indica solo "enjuagar abundantemente con agua limpia" sin especificar su destino.</w:t>
            </w:r>
          </w:p>
        </w:tc>
        <w:tc>
          <w:tcPr>
            <w:tcW w:w="4885" w:type="dxa"/>
            <w:tcMar>
              <w:top w:w="80" w:type="dxa"/>
              <w:left w:w="100" w:type="dxa"/>
              <w:bottom w:w="80" w:type="dxa"/>
              <w:right w:w="100" w:type="dxa"/>
            </w:tcMar>
          </w:tcPr>
          <w:p w14:paraId="2BC84E51" w14:textId="77777777" w:rsidR="002052E4" w:rsidRPr="00AD15B0" w:rsidRDefault="00E56BAB" w:rsidP="00AD15B0">
            <w:pPr>
              <w:jc w:val="both"/>
            </w:pPr>
            <w:r w:rsidRPr="00AD15B0">
              <w:t>Definir si el agua de enjuague debe recolectarse como residuo peligroso o si existe un sistema de tratamiento/neutralización autorizado antes de su descarte; no debe asumirse que puede ir al desagüe común sin verificación.</w:t>
            </w:r>
          </w:p>
        </w:tc>
      </w:tr>
      <w:tr w:rsidR="002052E4" w:rsidRPr="00AD15B0" w14:paraId="76D23AC8" w14:textId="77777777" w:rsidTr="00AD15B0">
        <w:tc>
          <w:tcPr>
            <w:tcW w:w="1900" w:type="dxa"/>
            <w:tcMar>
              <w:top w:w="80" w:type="dxa"/>
              <w:left w:w="100" w:type="dxa"/>
              <w:bottom w:w="80" w:type="dxa"/>
              <w:right w:w="100" w:type="dxa"/>
            </w:tcMar>
          </w:tcPr>
          <w:p w14:paraId="1A58231D" w14:textId="77777777" w:rsidR="002052E4" w:rsidRPr="00AD15B0" w:rsidRDefault="00E56BAB" w:rsidP="00AD15B0">
            <w:pPr>
              <w:jc w:val="both"/>
            </w:pPr>
            <w:r w:rsidRPr="00AD15B0">
              <w:t>Solventes y paños contaminados</w:t>
            </w:r>
          </w:p>
        </w:tc>
        <w:tc>
          <w:tcPr>
            <w:tcW w:w="3700" w:type="dxa"/>
            <w:tcMar>
              <w:top w:w="80" w:type="dxa"/>
              <w:left w:w="100" w:type="dxa"/>
              <w:bottom w:w="80" w:type="dxa"/>
              <w:right w:w="100" w:type="dxa"/>
            </w:tcMar>
          </w:tcPr>
          <w:p w14:paraId="4247D106" w14:textId="77777777" w:rsidR="002052E4" w:rsidRPr="00AD15B0" w:rsidRDefault="00E56BAB" w:rsidP="00AD15B0">
            <w:pPr>
              <w:jc w:val="both"/>
            </w:pPr>
            <w:r w:rsidRPr="00AD15B0">
              <w:t>Los paños usados con IPA, metanol y acetona (Paso 1) y los restos de pintura conductiva y solvente de limpieza del aerógrafo (Paso 2) no tienen destino definido en el documento.</w:t>
            </w:r>
          </w:p>
        </w:tc>
        <w:tc>
          <w:tcPr>
            <w:tcW w:w="4885" w:type="dxa"/>
            <w:tcMar>
              <w:top w:w="80" w:type="dxa"/>
              <w:left w:w="100" w:type="dxa"/>
              <w:bottom w:w="80" w:type="dxa"/>
              <w:right w:w="100" w:type="dxa"/>
            </w:tcMar>
          </w:tcPr>
          <w:p w14:paraId="582AA394" w14:textId="77777777" w:rsidR="002052E4" w:rsidRPr="00AD15B0" w:rsidRDefault="00E56BAB" w:rsidP="00AD15B0">
            <w:pPr>
              <w:jc w:val="both"/>
            </w:pPr>
            <w:r w:rsidRPr="00AD15B0">
              <w:t>Usar un contenedor específico para residuos orgánicos/solventes, separado de los residuos ácidos, con rotulación conforme a la normativa institucional.</w:t>
            </w:r>
          </w:p>
        </w:tc>
      </w:tr>
    </w:tbl>
    <w:p w14:paraId="7A25F893" w14:textId="77777777" w:rsidR="002052E4" w:rsidRPr="00AD15B0" w:rsidRDefault="002052E4" w:rsidP="00AD15B0">
      <w:pPr>
        <w:spacing w:after="150"/>
        <w:jc w:val="both"/>
      </w:pPr>
    </w:p>
    <w:p w14:paraId="1DBE0B3A" w14:textId="72651D30" w:rsidR="002052E4" w:rsidRPr="00AD15B0" w:rsidRDefault="00AD15B0" w:rsidP="00AD15B0">
      <w:pPr>
        <w:pStyle w:val="Ttulo1"/>
        <w:numPr>
          <w:ilvl w:val="0"/>
          <w:numId w:val="5"/>
        </w:numPr>
        <w:spacing w:before="300" w:after="150"/>
        <w:jc w:val="both"/>
        <w:rPr>
          <w:color w:val="auto"/>
          <w:sz w:val="22"/>
          <w:szCs w:val="22"/>
        </w:rPr>
      </w:pPr>
      <w:r w:rsidRPr="00AD15B0">
        <w:rPr>
          <w:color w:val="auto"/>
          <w:sz w:val="22"/>
          <w:szCs w:val="22"/>
        </w:rPr>
        <w:t>RECOMENDACIÓN FINAL</w:t>
      </w:r>
    </w:p>
    <w:p w14:paraId="1EC1723C" w14:textId="77777777" w:rsidR="002052E4" w:rsidRPr="00AD15B0" w:rsidRDefault="00E56BAB" w:rsidP="00AD15B0">
      <w:pPr>
        <w:pStyle w:val="Prrafodelista"/>
        <w:numPr>
          <w:ilvl w:val="0"/>
          <w:numId w:val="2"/>
        </w:numPr>
        <w:spacing w:after="60"/>
        <w:jc w:val="both"/>
      </w:pPr>
      <w:r w:rsidRPr="00AD15B0">
        <w:rPr>
          <w:sz w:val="22"/>
          <w:szCs w:val="22"/>
        </w:rPr>
        <w:lastRenderedPageBreak/>
        <w:t>Reformular el documento en el formato POE-PLS (se adjunta la plantilla).</w:t>
      </w:r>
    </w:p>
    <w:p w14:paraId="7E482A2E" w14:textId="77777777" w:rsidR="002052E4" w:rsidRPr="00AD15B0" w:rsidRDefault="00E56BAB" w:rsidP="00AD15B0">
      <w:pPr>
        <w:pStyle w:val="Prrafodelista"/>
        <w:numPr>
          <w:ilvl w:val="0"/>
          <w:numId w:val="2"/>
        </w:numPr>
        <w:spacing w:after="60"/>
        <w:jc w:val="both"/>
      </w:pPr>
      <w:r w:rsidRPr="00AD15B0">
        <w:rPr>
          <w:sz w:val="22"/>
          <w:szCs w:val="22"/>
        </w:rPr>
        <w:t>Incorporar las medidas críticas de control térmico durante la adición de ácido (punto 3.1).</w:t>
      </w:r>
    </w:p>
    <w:p w14:paraId="3187245E" w14:textId="77777777" w:rsidR="002052E4" w:rsidRPr="00AD15B0" w:rsidRDefault="00E56BAB" w:rsidP="00AD15B0">
      <w:pPr>
        <w:pStyle w:val="Prrafodelista"/>
        <w:numPr>
          <w:ilvl w:val="0"/>
          <w:numId w:val="2"/>
        </w:numPr>
        <w:spacing w:after="60"/>
        <w:jc w:val="both"/>
      </w:pPr>
      <w:r w:rsidRPr="00AD15B0">
        <w:rPr>
          <w:sz w:val="22"/>
          <w:szCs w:val="22"/>
        </w:rPr>
        <w:t>Definir zonas de trabajo específicas (cabina de pulverización, campana de extracción) y medidas de riesgo eléctrico (punto 3.3).</w:t>
      </w:r>
    </w:p>
    <w:p w14:paraId="288AF527" w14:textId="77777777" w:rsidR="002052E4" w:rsidRPr="00AD15B0" w:rsidRDefault="00E56BAB" w:rsidP="00AD15B0">
      <w:pPr>
        <w:pStyle w:val="Prrafodelista"/>
        <w:numPr>
          <w:ilvl w:val="0"/>
          <w:numId w:val="2"/>
        </w:numPr>
        <w:spacing w:after="60"/>
        <w:jc w:val="both"/>
      </w:pPr>
      <w:r w:rsidRPr="00AD15B0">
        <w:rPr>
          <w:sz w:val="22"/>
          <w:szCs w:val="22"/>
        </w:rPr>
        <w:t>Especificar EPP por etapa, incluyendo protección facial durante la manipulación de ácido concentrado (punto 3.4).</w:t>
      </w:r>
    </w:p>
    <w:p w14:paraId="75EBAC30" w14:textId="77777777" w:rsidR="002052E4" w:rsidRPr="00AD15B0" w:rsidRDefault="00E56BAB" w:rsidP="00AD15B0">
      <w:pPr>
        <w:pStyle w:val="Prrafodelista"/>
        <w:numPr>
          <w:ilvl w:val="0"/>
          <w:numId w:val="2"/>
        </w:numPr>
        <w:spacing w:after="60"/>
        <w:jc w:val="both"/>
      </w:pPr>
      <w:r w:rsidRPr="00AD15B0">
        <w:rPr>
          <w:sz w:val="22"/>
          <w:szCs w:val="22"/>
        </w:rPr>
        <w:t>Incorporar un procedimiento completo de gestión de residuos peligrosos, incluyendo el destino del baño agotado y del agua de enjuague (punto 3.5).</w:t>
      </w:r>
    </w:p>
    <w:p w14:paraId="6D39912A" w14:textId="77777777" w:rsidR="002052E4" w:rsidRPr="00AD15B0" w:rsidRDefault="00E56BAB" w:rsidP="00AD15B0">
      <w:pPr>
        <w:pStyle w:val="Prrafodelista"/>
        <w:numPr>
          <w:ilvl w:val="0"/>
          <w:numId w:val="2"/>
        </w:numPr>
        <w:spacing w:after="60"/>
        <w:jc w:val="both"/>
      </w:pPr>
      <w:r w:rsidRPr="00AD15B0">
        <w:rPr>
          <w:sz w:val="22"/>
          <w:szCs w:val="22"/>
        </w:rPr>
        <w:t>Se sugiere solicitar una revisión de las medidas de seguridad a un académico que realice procedimientos similares. Puedes contactar al Dr. Eduardo Schott (</w:t>
      </w:r>
      <w:r w:rsidRPr="00AD15B0">
        <w:rPr>
          <w:color w:val="0563C1"/>
          <w:sz w:val="22"/>
          <w:szCs w:val="22"/>
          <w:u w:val="single"/>
        </w:rPr>
        <w:t>edschott@uc.cl</w:t>
      </w:r>
      <w:r w:rsidRPr="00AD15B0">
        <w:rPr>
          <w:sz w:val="22"/>
          <w:szCs w:val="22"/>
        </w:rPr>
        <w:t>), de la Facultad de Química y Farmacia.</w:t>
      </w:r>
    </w:p>
    <w:p w14:paraId="5482EF78" w14:textId="77777777" w:rsidR="002052E4" w:rsidRPr="00AD15B0" w:rsidRDefault="002052E4" w:rsidP="00AD15B0">
      <w:pPr>
        <w:spacing w:after="150"/>
        <w:jc w:val="both"/>
      </w:pPr>
    </w:p>
    <w:p w14:paraId="3E29A822" w14:textId="5C451033" w:rsidR="002052E4" w:rsidRPr="00AD15B0" w:rsidRDefault="00E56BAB" w:rsidP="00AD15B0">
      <w:pPr>
        <w:spacing w:after="120"/>
        <w:jc w:val="both"/>
      </w:pPr>
      <w:r w:rsidRPr="00AD15B0">
        <w:rPr>
          <w:sz w:val="22"/>
          <w:szCs w:val="22"/>
        </w:rPr>
        <w:t xml:space="preserve">Una vez incorporadas estas mejoras, te recomiendo </w:t>
      </w:r>
      <w:r w:rsidR="00AD15B0">
        <w:rPr>
          <w:sz w:val="22"/>
          <w:szCs w:val="22"/>
        </w:rPr>
        <w:t>comenzar el proceso de evaluación con el</w:t>
      </w:r>
      <w:r w:rsidRPr="00AD15B0">
        <w:rPr>
          <w:sz w:val="22"/>
          <w:szCs w:val="22"/>
        </w:rPr>
        <w:t xml:space="preserve"> Comité Institucional de Seguridad en la Investigación para </w:t>
      </w:r>
      <w:r w:rsidR="00AD15B0">
        <w:rPr>
          <w:sz w:val="22"/>
          <w:szCs w:val="22"/>
        </w:rPr>
        <w:t xml:space="preserve">la </w:t>
      </w:r>
      <w:r w:rsidRPr="00AD15B0">
        <w:rPr>
          <w:sz w:val="22"/>
          <w:szCs w:val="22"/>
        </w:rPr>
        <w:t>autorización formal antes de ejecutar el procedimiento en el laboratorio.</w:t>
      </w:r>
    </w:p>
    <w:p w14:paraId="7A16D74B" w14:textId="77777777" w:rsidR="00AD15B0" w:rsidRPr="00AD15B0" w:rsidRDefault="00AD15B0" w:rsidP="00AD15B0">
      <w:pPr>
        <w:spacing w:after="120"/>
        <w:jc w:val="both"/>
      </w:pPr>
    </w:p>
    <w:sectPr w:rsidR="00AD15B0" w:rsidRPr="00AD15B0">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D13B39"/>
    <w:multiLevelType w:val="hybridMultilevel"/>
    <w:tmpl w:val="93F48E6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32727D0B"/>
    <w:multiLevelType w:val="hybridMultilevel"/>
    <w:tmpl w:val="C86C58EE"/>
    <w:lvl w:ilvl="0" w:tplc="22CC327E">
      <w:start w:val="1"/>
      <w:numFmt w:val="bullet"/>
      <w:lvlText w:val="•"/>
      <w:lvlJc w:val="left"/>
      <w:pPr>
        <w:ind w:left="360" w:hanging="260"/>
      </w:pPr>
    </w:lvl>
    <w:lvl w:ilvl="1" w:tplc="657A5C82">
      <w:numFmt w:val="decimal"/>
      <w:lvlText w:val=""/>
      <w:lvlJc w:val="left"/>
    </w:lvl>
    <w:lvl w:ilvl="2" w:tplc="4C5A6892">
      <w:numFmt w:val="decimal"/>
      <w:lvlText w:val=""/>
      <w:lvlJc w:val="left"/>
    </w:lvl>
    <w:lvl w:ilvl="3" w:tplc="49F21DD4">
      <w:numFmt w:val="decimal"/>
      <w:lvlText w:val=""/>
      <w:lvlJc w:val="left"/>
    </w:lvl>
    <w:lvl w:ilvl="4" w:tplc="BACA5E9A">
      <w:numFmt w:val="decimal"/>
      <w:lvlText w:val=""/>
      <w:lvlJc w:val="left"/>
    </w:lvl>
    <w:lvl w:ilvl="5" w:tplc="B4EC3586">
      <w:numFmt w:val="decimal"/>
      <w:lvlText w:val=""/>
      <w:lvlJc w:val="left"/>
    </w:lvl>
    <w:lvl w:ilvl="6" w:tplc="9D1252AC">
      <w:numFmt w:val="decimal"/>
      <w:lvlText w:val=""/>
      <w:lvlJc w:val="left"/>
    </w:lvl>
    <w:lvl w:ilvl="7" w:tplc="0DBC3A1E">
      <w:numFmt w:val="decimal"/>
      <w:lvlText w:val=""/>
      <w:lvlJc w:val="left"/>
    </w:lvl>
    <w:lvl w:ilvl="8" w:tplc="1FCA0B58">
      <w:numFmt w:val="decimal"/>
      <w:lvlText w:val=""/>
      <w:lvlJc w:val="left"/>
    </w:lvl>
  </w:abstractNum>
  <w:abstractNum w:abstractNumId="2" w15:restartNumberingAfterBreak="0">
    <w:nsid w:val="3F5C7A1D"/>
    <w:multiLevelType w:val="hybridMultilevel"/>
    <w:tmpl w:val="0EC87C4A"/>
    <w:lvl w:ilvl="0" w:tplc="B8A081F0">
      <w:start w:val="1"/>
      <w:numFmt w:val="bullet"/>
      <w:lvlText w:val="●"/>
      <w:lvlJc w:val="left"/>
      <w:pPr>
        <w:ind w:left="720" w:hanging="360"/>
      </w:pPr>
    </w:lvl>
    <w:lvl w:ilvl="1" w:tplc="7304F498">
      <w:start w:val="1"/>
      <w:numFmt w:val="bullet"/>
      <w:lvlText w:val="○"/>
      <w:lvlJc w:val="left"/>
      <w:pPr>
        <w:ind w:left="1440" w:hanging="360"/>
      </w:pPr>
    </w:lvl>
    <w:lvl w:ilvl="2" w:tplc="0D1E8B52">
      <w:start w:val="1"/>
      <w:numFmt w:val="bullet"/>
      <w:lvlText w:val="■"/>
      <w:lvlJc w:val="left"/>
      <w:pPr>
        <w:ind w:left="2160" w:hanging="360"/>
      </w:pPr>
    </w:lvl>
    <w:lvl w:ilvl="3" w:tplc="62445E28">
      <w:start w:val="1"/>
      <w:numFmt w:val="bullet"/>
      <w:lvlText w:val="●"/>
      <w:lvlJc w:val="left"/>
      <w:pPr>
        <w:ind w:left="2880" w:hanging="360"/>
      </w:pPr>
    </w:lvl>
    <w:lvl w:ilvl="4" w:tplc="A59CE84A">
      <w:start w:val="1"/>
      <w:numFmt w:val="bullet"/>
      <w:lvlText w:val="○"/>
      <w:lvlJc w:val="left"/>
      <w:pPr>
        <w:ind w:left="3600" w:hanging="360"/>
      </w:pPr>
    </w:lvl>
    <w:lvl w:ilvl="5" w:tplc="DD10351A">
      <w:start w:val="1"/>
      <w:numFmt w:val="bullet"/>
      <w:lvlText w:val="■"/>
      <w:lvlJc w:val="left"/>
      <w:pPr>
        <w:ind w:left="4320" w:hanging="360"/>
      </w:pPr>
    </w:lvl>
    <w:lvl w:ilvl="6" w:tplc="7B5E38EA">
      <w:start w:val="1"/>
      <w:numFmt w:val="bullet"/>
      <w:lvlText w:val="●"/>
      <w:lvlJc w:val="left"/>
      <w:pPr>
        <w:ind w:left="5040" w:hanging="360"/>
      </w:pPr>
    </w:lvl>
    <w:lvl w:ilvl="7" w:tplc="F92CD732">
      <w:start w:val="1"/>
      <w:numFmt w:val="bullet"/>
      <w:lvlText w:val="●"/>
      <w:lvlJc w:val="left"/>
      <w:pPr>
        <w:ind w:left="5760" w:hanging="360"/>
      </w:pPr>
    </w:lvl>
    <w:lvl w:ilvl="8" w:tplc="560EB656">
      <w:start w:val="1"/>
      <w:numFmt w:val="bullet"/>
      <w:lvlText w:val="●"/>
      <w:lvlJc w:val="left"/>
      <w:pPr>
        <w:ind w:left="6480" w:hanging="360"/>
      </w:pPr>
    </w:lvl>
  </w:abstractNum>
  <w:abstractNum w:abstractNumId="3" w15:restartNumberingAfterBreak="0">
    <w:nsid w:val="627E3803"/>
    <w:multiLevelType w:val="hybridMultilevel"/>
    <w:tmpl w:val="AE8A998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78FD497C"/>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23515389">
    <w:abstractNumId w:val="2"/>
    <w:lvlOverride w:ilvl="0">
      <w:startOverride w:val="1"/>
    </w:lvlOverride>
  </w:num>
  <w:num w:numId="2" w16cid:durableId="79520769">
    <w:abstractNumId w:val="1"/>
    <w:lvlOverride w:ilvl="0">
      <w:startOverride w:val="1"/>
    </w:lvlOverride>
  </w:num>
  <w:num w:numId="3" w16cid:durableId="545530771">
    <w:abstractNumId w:val="0"/>
  </w:num>
  <w:num w:numId="4" w16cid:durableId="659386804">
    <w:abstractNumId w:val="3"/>
  </w:num>
  <w:num w:numId="5" w16cid:durableId="1395466331">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2E4"/>
    <w:rsid w:val="001407FD"/>
    <w:rsid w:val="002052E4"/>
    <w:rsid w:val="005F5B50"/>
    <w:rsid w:val="00AD15B0"/>
    <w:rsid w:val="00C86AA2"/>
    <w:rsid w:val="00D70BC5"/>
    <w:rsid w:val="00E56BA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238922C4"/>
  <w15:docId w15:val="{B5C0F7B2-5F30-0F42-9E89-419C26706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s-C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1804</Words>
  <Characters>9924</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Macarena Paz Otto Medina</cp:lastModifiedBy>
  <cp:revision>2</cp:revision>
  <dcterms:created xsi:type="dcterms:W3CDTF">2026-09-30T20:17:00Z</dcterms:created>
  <dcterms:modified xsi:type="dcterms:W3CDTF">2026-09-30T20:17:00Z</dcterms:modified>
</cp:coreProperties>
</file>