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40"/>
        <w:jc w:val="center"/>
      </w:pPr>
      <w:r>
        <w:rPr>
          <w:rFonts w:ascii="Calibri" w:hAnsi="Calibri"/>
          <w:b/>
          <w:i w:val="0"/>
          <w:sz w:val="30"/>
        </w:rPr>
        <w:t>Protocolo general de manejo seguro de químicos</w:t>
      </w:r>
    </w:p>
    <w:p>
      <w:pPr>
        <w:spacing w:before="0" w:after="200"/>
        <w:jc w:val="center"/>
      </w:pPr>
      <w:r>
        <w:rPr>
          <w:rFonts w:ascii="Calibri" w:hAnsi="Calibri"/>
          <w:b w:val="0"/>
          <w:i w:val="0"/>
          <w:color w:val="404040"/>
          <w:sz w:val="22"/>
        </w:rPr>
        <w:t>Laboratorio de metalizado – Centro de AstroIngeniería UC (AIUC)</w:t>
      </w:r>
    </w:p>
    <w:tbl>
      <w:tblPr>
        <w:tblStyle w:val="Tablaconcuadrcula"/>
        <w:tblW w:type="auto" w:w="0"/>
        <w:jc w:val="center"/>
        <w:tblLayout w:type="fixed"/>
        <w:tblLook w:firstColumn="1" w:firstRow="1" w:lastColumn="0" w:lastRow="0" w:noHBand="0" w:noVBand="1" w:val="04A0"/>
        <w:tblLayout w:type="fixed"/>
      </w:tblPr>
      <w:tblGrid>
        <w:gridCol w:w="2835"/>
        <w:gridCol w:w="6520"/>
      </w:tblGrid>
      <w:tr>
        <w:tc>
          <w:tcPr>
            <w:tcW w:type="dxa" w:w="2835"/>
            <w:shd w:val="clear" w:color="auto" w:fill="E7E6E6"/>
          </w:tcPr>
          <w:p>
            <w:pPr>
              <w:spacing w:after="20" w:before="0"/>
              <w:jc w:val="left"/>
            </w:pPr>
            <w:r>
              <w:rPr>
                <w:rFonts w:ascii="Calibri" w:hAnsi="Calibri"/>
                <w:b/>
                <w:i w:val="0"/>
                <w:sz w:val="20"/>
              </w:rPr>
              <w:t>Facultad</w:t>
            </w:r>
          </w:p>
        </w:tc>
        <w:tc>
          <w:tcPr>
            <w:tcW w:type="dxa" w:w="6520"/>
          </w:tcPr>
          <w:p>
            <w:pPr>
              <w:spacing w:after="20" w:before="0"/>
              <w:jc w:val="left"/>
            </w:pPr>
            <w:r>
              <w:rPr>
                <w:rFonts w:ascii="Calibri" w:hAnsi="Calibri"/>
                <w:b w:val="0"/>
                <w:i w:val="0"/>
                <w:sz w:val="20"/>
              </w:rPr>
              <w:t>Facultad de Ingeniería</w:t>
            </w:r>
          </w:p>
        </w:tc>
      </w:tr>
      <w:tr>
        <w:tc>
          <w:tcPr>
            <w:tcW w:type="dxa" w:w="2835"/>
            <w:shd w:val="clear" w:color="auto" w:fill="E7E6E6"/>
          </w:tcPr>
          <w:p>
            <w:pPr>
              <w:spacing w:after="20" w:before="0"/>
              <w:jc w:val="left"/>
            </w:pPr>
            <w:r>
              <w:rPr>
                <w:rFonts w:ascii="Calibri" w:hAnsi="Calibri"/>
                <w:b/>
                <w:i w:val="0"/>
                <w:sz w:val="20"/>
              </w:rPr>
              <w:t>Laboratorio</w:t>
            </w:r>
          </w:p>
        </w:tc>
        <w:tc>
          <w:tcPr>
            <w:tcW w:type="dxa" w:w="6520"/>
          </w:tcPr>
          <w:p>
            <w:pPr>
              <w:spacing w:after="20" w:before="0"/>
              <w:jc w:val="left"/>
            </w:pPr>
            <w:r>
              <w:rPr>
                <w:rFonts w:ascii="Calibri" w:hAnsi="Calibri"/>
                <w:b w:val="0"/>
                <w:i w:val="0"/>
                <w:sz w:val="20"/>
              </w:rPr>
              <w:t>Centro de AstroIngeniería UC (AIUC) – Campus San Joaquín</w:t>
            </w:r>
          </w:p>
        </w:tc>
      </w:tr>
      <w:tr>
        <w:tc>
          <w:tcPr>
            <w:tcW w:type="dxa" w:w="2835"/>
            <w:shd w:val="clear" w:color="auto" w:fill="E7E6E6"/>
          </w:tcPr>
          <w:p>
            <w:pPr>
              <w:spacing w:after="20" w:before="0"/>
              <w:jc w:val="left"/>
            </w:pPr>
            <w:r>
              <w:rPr>
                <w:rFonts w:ascii="Calibri" w:hAnsi="Calibri"/>
                <w:b/>
                <w:i w:val="0"/>
                <w:sz w:val="20"/>
              </w:rPr>
              <w:t>Académica responsable</w:t>
            </w:r>
          </w:p>
        </w:tc>
        <w:tc>
          <w:tcPr>
            <w:tcW w:type="dxa" w:w="6520"/>
          </w:tcPr>
          <w:p>
            <w:pPr>
              <w:spacing w:after="20" w:before="0"/>
              <w:jc w:val="left"/>
            </w:pPr>
            <w:r>
              <w:rPr>
                <w:rFonts w:ascii="Calibri" w:hAnsi="Calibri"/>
                <w:b w:val="0"/>
                <w:i w:val="0"/>
                <w:sz w:val="20"/>
              </w:rPr>
              <w:t>Marilyn Cruces</w:t>
            </w:r>
          </w:p>
        </w:tc>
      </w:tr>
      <w:tr>
        <w:tc>
          <w:tcPr>
            <w:tcW w:type="dxa" w:w="2835"/>
            <w:shd w:val="clear" w:color="auto" w:fill="E7E6E6"/>
          </w:tcPr>
          <w:p>
            <w:pPr>
              <w:spacing w:after="20" w:before="0"/>
              <w:jc w:val="left"/>
            </w:pPr>
            <w:r>
              <w:rPr>
                <w:rFonts w:ascii="Calibri" w:hAnsi="Calibri"/>
                <w:b/>
                <w:i w:val="0"/>
                <w:sz w:val="20"/>
              </w:rPr>
              <w:t>Lab manager</w:t>
            </w:r>
          </w:p>
        </w:tc>
        <w:tc>
          <w:tcPr>
            <w:tcW w:type="dxa" w:w="6520"/>
          </w:tcPr>
          <w:p>
            <w:pPr>
              <w:spacing w:after="20" w:before="0"/>
              <w:jc w:val="left"/>
            </w:pPr>
            <w:r>
              <w:rPr>
                <w:rFonts w:ascii="Calibri" w:hAnsi="Calibri"/>
                <w:b w:val="0"/>
                <w:i w:val="0"/>
                <w:sz w:val="20"/>
              </w:rPr>
              <w:t>María Eliana Escobar</w:t>
            </w:r>
          </w:p>
        </w:tc>
      </w:tr>
      <w:tr>
        <w:tc>
          <w:tcPr>
            <w:tcW w:type="dxa" w:w="2835"/>
            <w:shd w:val="clear" w:color="auto" w:fill="E7E6E6"/>
          </w:tcPr>
          <w:p>
            <w:pPr>
              <w:spacing w:after="20" w:before="0"/>
              <w:jc w:val="left"/>
            </w:pPr>
            <w:r>
              <w:rPr>
                <w:rFonts w:ascii="Calibri" w:hAnsi="Calibri"/>
                <w:b/>
                <w:i w:val="0"/>
                <w:sz w:val="20"/>
              </w:rPr>
              <w:t>Elaborado por</w:t>
            </w:r>
          </w:p>
        </w:tc>
        <w:tc>
          <w:tcPr>
            <w:tcW w:type="dxa" w:w="6520"/>
          </w:tcPr>
          <w:p>
            <w:pPr>
              <w:spacing w:after="20" w:before="0"/>
              <w:jc w:val="left"/>
            </w:pPr>
            <w:r>
              <w:rPr>
                <w:rFonts w:ascii="Calibri" w:hAnsi="Calibri"/>
                <w:b w:val="0"/>
                <w:i w:val="0"/>
                <w:sz w:val="20"/>
              </w:rPr>
              <w:t>Nicolás Seguel Ardiles</w:t>
            </w:r>
          </w:p>
        </w:tc>
      </w:tr>
    </w:tbl>
    <w:p>
      <w:pPr>
        <w:keepNext/>
        <w:spacing w:before="200" w:after="80"/>
      </w:pPr>
      <w:r>
        <w:rPr>
          <w:rFonts w:ascii="Calibri" w:hAnsi="Calibri"/>
          <w:b/>
          <w:i w:val="0"/>
          <w:color w:val="1F3864"/>
          <w:sz w:val="24"/>
        </w:rPr>
        <w:t>1. Objetivo y alcance</w:t>
      </w:r>
    </w:p>
    <w:p>
      <w:pPr>
        <w:spacing w:before="0" w:after="80"/>
        <w:jc w:val="both"/>
      </w:pPr>
      <w:r>
        <w:rPr>
          <w:rFonts w:ascii="Calibri" w:hAnsi="Calibri"/>
          <w:b w:val="0"/>
          <w:i w:val="0"/>
          <w:sz w:val="20"/>
        </w:rPr>
        <w:t>Este documento contiene las reglas e instrucciones para el manejo seguro de los químicos presentes en el laboratorio. Aplica a toda persona que manipule, almacene o elimine los reactivos del inventario AIUC, en particular durante el proceso de metalizado de cobre sobre piezas de resina. Las actividades específicas se describen en los Procedimientos de Trabajo Seguro (PTS-01 a PTS-04), elaborados según el formato del Programa Laboratorio Seguro UC.</w:t>
      </w:r>
    </w:p>
    <w:p>
      <w:pPr>
        <w:keepNext/>
        <w:spacing w:before="200" w:after="80"/>
      </w:pPr>
      <w:r>
        <w:rPr>
          <w:rFonts w:ascii="Calibri" w:hAnsi="Calibri"/>
          <w:b/>
          <w:i w:val="0"/>
          <w:color w:val="1F3864"/>
          <w:sz w:val="24"/>
        </w:rPr>
        <w:t>2. Reactivos del laboratorio</w:t>
      </w:r>
    </w:p>
    <w:tbl>
      <w:tblPr>
        <w:tblStyle w:val="Tablaconcuadrcula"/>
        <w:tblW w:type="auto" w:w="0"/>
        <w:jc w:val="center"/>
        <w:tblLayout w:type="fixed"/>
        <w:tblLook w:firstColumn="1" w:firstRow="1" w:lastColumn="0" w:lastRow="0" w:noHBand="0" w:noVBand="1" w:val="04A0"/>
        <w:tblLayout w:type="fixed"/>
      </w:tblPr>
      <w:tblGrid>
        <w:gridCol w:w="2041"/>
        <w:gridCol w:w="1191"/>
        <w:gridCol w:w="1304"/>
        <w:gridCol w:w="2608"/>
        <w:gridCol w:w="2211"/>
      </w:tblGrid>
      <w:tr>
        <w:trPr>
          <w:tblHeader w:val="true"/>
        </w:trPr>
        <w:tc>
          <w:tcPr>
            <w:tcW w:type="dxa" w:w="2041"/>
            <w:shd w:val="clear" w:color="auto" w:fill="E7E6E6"/>
          </w:tcPr>
          <w:p>
            <w:pPr>
              <w:spacing w:after="20" w:before="0"/>
              <w:jc w:val="center"/>
            </w:pPr>
            <w:r>
              <w:rPr>
                <w:rFonts w:ascii="Calibri" w:hAnsi="Calibri"/>
                <w:b/>
                <w:i w:val="0"/>
                <w:sz w:val="17"/>
              </w:rPr>
              <w:t>Reactivo</w:t>
            </w:r>
          </w:p>
        </w:tc>
        <w:tc>
          <w:tcPr>
            <w:tcW w:type="dxa" w:w="1191"/>
            <w:shd w:val="clear" w:color="auto" w:fill="E7E6E6"/>
          </w:tcPr>
          <w:p>
            <w:pPr>
              <w:spacing w:after="20" w:before="0"/>
              <w:jc w:val="center"/>
            </w:pPr>
            <w:r>
              <w:rPr>
                <w:rFonts w:ascii="Calibri" w:hAnsi="Calibri"/>
                <w:b/>
                <w:i w:val="0"/>
                <w:sz w:val="17"/>
              </w:rPr>
              <w:t>N° CAS</w:t>
            </w:r>
          </w:p>
        </w:tc>
        <w:tc>
          <w:tcPr>
            <w:tcW w:type="dxa" w:w="1304"/>
            <w:shd w:val="clear" w:color="auto" w:fill="E7E6E6"/>
          </w:tcPr>
          <w:p>
            <w:pPr>
              <w:spacing w:after="20" w:before="0"/>
              <w:jc w:val="center"/>
            </w:pPr>
            <w:r>
              <w:rPr>
                <w:rFonts w:ascii="Calibri" w:hAnsi="Calibri"/>
                <w:b/>
                <w:i w:val="0"/>
                <w:sz w:val="17"/>
              </w:rPr>
              <w:t>N° UN / clase</w:t>
            </w:r>
          </w:p>
        </w:tc>
        <w:tc>
          <w:tcPr>
            <w:tcW w:type="dxa" w:w="2608"/>
            <w:shd w:val="clear" w:color="auto" w:fill="E7E6E6"/>
          </w:tcPr>
          <w:p>
            <w:pPr>
              <w:spacing w:after="20" w:before="0"/>
              <w:jc w:val="center"/>
            </w:pPr>
            <w:r>
              <w:rPr>
                <w:rFonts w:ascii="Calibri" w:hAnsi="Calibri"/>
                <w:b/>
                <w:i w:val="0"/>
                <w:sz w:val="17"/>
              </w:rPr>
              <w:t>Peligros principales (GHS)</w:t>
            </w:r>
          </w:p>
        </w:tc>
        <w:tc>
          <w:tcPr>
            <w:tcW w:type="dxa" w:w="2211"/>
            <w:shd w:val="clear" w:color="auto" w:fill="E7E6E6"/>
          </w:tcPr>
          <w:p>
            <w:pPr>
              <w:spacing w:after="20" w:before="0"/>
              <w:jc w:val="center"/>
            </w:pPr>
            <w:r>
              <w:rPr>
                <w:rFonts w:ascii="Calibri" w:hAnsi="Calibri"/>
                <w:b/>
                <w:i w:val="0"/>
                <w:sz w:val="17"/>
              </w:rPr>
              <w:t>Almacenamiento</w:t>
            </w:r>
          </w:p>
        </w:tc>
      </w:tr>
      <w:tr>
        <w:tc>
          <w:tcPr>
            <w:tcW w:type="dxa" w:w="2041"/>
          </w:tcPr>
          <w:p>
            <w:pPr>
              <w:spacing w:after="20" w:before="0"/>
              <w:jc w:val="left"/>
            </w:pPr>
            <w:r>
              <w:rPr>
                <w:rFonts w:ascii="Calibri" w:hAnsi="Calibri"/>
                <w:b w:val="0"/>
                <w:i w:val="0"/>
                <w:sz w:val="17"/>
              </w:rPr>
              <w:t>Ácido sulfúrico 98 %</w:t>
            </w:r>
          </w:p>
        </w:tc>
        <w:tc>
          <w:tcPr>
            <w:tcW w:type="dxa" w:w="1191"/>
          </w:tcPr>
          <w:p>
            <w:pPr>
              <w:spacing w:after="20" w:before="0"/>
              <w:jc w:val="left"/>
            </w:pPr>
            <w:r>
              <w:rPr>
                <w:rFonts w:ascii="Calibri" w:hAnsi="Calibri"/>
                <w:b w:val="0"/>
                <w:i w:val="0"/>
                <w:sz w:val="17"/>
              </w:rPr>
              <w:t>7664-93-9</w:t>
            </w:r>
          </w:p>
        </w:tc>
        <w:tc>
          <w:tcPr>
            <w:tcW w:type="dxa" w:w="1304"/>
          </w:tcPr>
          <w:p>
            <w:pPr>
              <w:spacing w:after="20" w:before="0"/>
              <w:jc w:val="left"/>
            </w:pPr>
            <w:r>
              <w:rPr>
                <w:rFonts w:ascii="Calibri" w:hAnsi="Calibri"/>
                <w:b w:val="0"/>
                <w:i w:val="0"/>
                <w:sz w:val="17"/>
              </w:rPr>
              <w:t>1830 / 8</w:t>
            </w:r>
          </w:p>
        </w:tc>
        <w:tc>
          <w:tcPr>
            <w:tcW w:type="dxa" w:w="2608"/>
          </w:tcPr>
          <w:p>
            <w:pPr>
              <w:spacing w:after="20" w:before="0"/>
              <w:jc w:val="left"/>
            </w:pPr>
            <w:r>
              <w:rPr>
                <w:rFonts w:ascii="Calibri" w:hAnsi="Calibri"/>
                <w:b w:val="0"/>
                <w:i w:val="0"/>
                <w:sz w:val="17"/>
              </w:rPr>
              <w:t>GHS05 Corrosivo</w:t>
            </w:r>
          </w:p>
        </w:tc>
        <w:tc>
          <w:tcPr>
            <w:tcW w:type="dxa" w:w="2211"/>
          </w:tcPr>
          <w:p>
            <w:pPr>
              <w:spacing w:after="20" w:before="0"/>
              <w:jc w:val="left"/>
            </w:pPr>
            <w:r>
              <w:rPr>
                <w:rFonts w:ascii="Calibri" w:hAnsi="Calibri"/>
                <w:b w:val="0"/>
                <w:i w:val="0"/>
                <w:sz w:val="17"/>
              </w:rPr>
              <w:t>Corrosivos ácidos</w:t>
            </w:r>
          </w:p>
        </w:tc>
      </w:tr>
      <w:tr>
        <w:tc>
          <w:tcPr>
            <w:tcW w:type="dxa" w:w="2041"/>
          </w:tcPr>
          <w:p>
            <w:pPr>
              <w:spacing w:after="20" w:before="0"/>
              <w:jc w:val="left"/>
            </w:pPr>
            <w:r>
              <w:rPr>
                <w:rFonts w:ascii="Calibri" w:hAnsi="Calibri"/>
                <w:b w:val="0"/>
                <w:i w:val="0"/>
                <w:sz w:val="17"/>
              </w:rPr>
              <w:t>Hidróxido de sodio 1 M</w:t>
            </w:r>
          </w:p>
        </w:tc>
        <w:tc>
          <w:tcPr>
            <w:tcW w:type="dxa" w:w="1191"/>
          </w:tcPr>
          <w:p>
            <w:pPr>
              <w:spacing w:after="20" w:before="0"/>
              <w:jc w:val="left"/>
            </w:pPr>
            <w:r>
              <w:rPr>
                <w:rFonts w:ascii="Calibri" w:hAnsi="Calibri"/>
                <w:b w:val="0"/>
                <w:i w:val="0"/>
                <w:sz w:val="17"/>
              </w:rPr>
              <w:t>1310-73-2</w:t>
            </w:r>
          </w:p>
        </w:tc>
        <w:tc>
          <w:tcPr>
            <w:tcW w:type="dxa" w:w="1304"/>
          </w:tcPr>
          <w:p>
            <w:pPr>
              <w:spacing w:after="20" w:before="0"/>
              <w:jc w:val="left"/>
            </w:pPr>
            <w:r>
              <w:rPr>
                <w:rFonts w:ascii="Calibri" w:hAnsi="Calibri"/>
                <w:b w:val="0"/>
                <w:i w:val="0"/>
                <w:sz w:val="17"/>
              </w:rPr>
              <w:t>1824 / 8</w:t>
            </w:r>
          </w:p>
        </w:tc>
        <w:tc>
          <w:tcPr>
            <w:tcW w:type="dxa" w:w="2608"/>
          </w:tcPr>
          <w:p>
            <w:pPr>
              <w:spacing w:after="20" w:before="0"/>
              <w:jc w:val="left"/>
            </w:pPr>
            <w:r>
              <w:rPr>
                <w:rFonts w:ascii="Calibri" w:hAnsi="Calibri"/>
                <w:b w:val="0"/>
                <w:i w:val="0"/>
                <w:sz w:val="17"/>
              </w:rPr>
              <w:t>GHS05 Corrosivo</w:t>
            </w:r>
          </w:p>
        </w:tc>
        <w:tc>
          <w:tcPr>
            <w:tcW w:type="dxa" w:w="2211"/>
          </w:tcPr>
          <w:p>
            <w:pPr>
              <w:spacing w:after="20" w:before="0"/>
              <w:jc w:val="left"/>
            </w:pPr>
            <w:r>
              <w:rPr>
                <w:rFonts w:ascii="Calibri" w:hAnsi="Calibri"/>
                <w:b w:val="0"/>
                <w:i w:val="0"/>
                <w:sz w:val="17"/>
              </w:rPr>
              <w:t>Corrosivos básicos</w:t>
            </w:r>
          </w:p>
        </w:tc>
      </w:tr>
      <w:tr>
        <w:tc>
          <w:tcPr>
            <w:tcW w:type="dxa" w:w="2041"/>
          </w:tcPr>
          <w:p>
            <w:pPr>
              <w:spacing w:after="20" w:before="0"/>
              <w:jc w:val="left"/>
            </w:pPr>
            <w:r>
              <w:rPr>
                <w:rFonts w:ascii="Calibri" w:hAnsi="Calibri"/>
                <w:b w:val="0"/>
                <w:i w:val="0"/>
                <w:sz w:val="17"/>
              </w:rPr>
              <w:t>Sulfato de cobre pentahidratado</w:t>
            </w:r>
          </w:p>
        </w:tc>
        <w:tc>
          <w:tcPr>
            <w:tcW w:type="dxa" w:w="1191"/>
          </w:tcPr>
          <w:p>
            <w:pPr>
              <w:spacing w:after="20" w:before="0"/>
              <w:jc w:val="left"/>
            </w:pPr>
            <w:r>
              <w:rPr>
                <w:rFonts w:ascii="Calibri" w:hAnsi="Calibri"/>
                <w:b w:val="0"/>
                <w:i w:val="0"/>
                <w:sz w:val="17"/>
              </w:rPr>
              <w:t>7758-98-7</w:t>
            </w:r>
          </w:p>
        </w:tc>
        <w:tc>
          <w:tcPr>
            <w:tcW w:type="dxa" w:w="1304"/>
          </w:tcPr>
          <w:p>
            <w:pPr>
              <w:spacing w:after="20" w:before="0"/>
              <w:jc w:val="left"/>
            </w:pPr>
            <w:r>
              <w:rPr>
                <w:rFonts w:ascii="Calibri" w:hAnsi="Calibri"/>
                <w:b w:val="0"/>
                <w:i w:val="0"/>
                <w:sz w:val="17"/>
              </w:rPr>
              <w:t>3077 / 9</w:t>
            </w:r>
          </w:p>
        </w:tc>
        <w:tc>
          <w:tcPr>
            <w:tcW w:type="dxa" w:w="2608"/>
          </w:tcPr>
          <w:p>
            <w:pPr>
              <w:spacing w:after="20" w:before="0"/>
              <w:jc w:val="left"/>
            </w:pPr>
            <w:r>
              <w:rPr>
                <w:rFonts w:ascii="Calibri" w:hAnsi="Calibri"/>
                <w:b w:val="0"/>
                <w:i w:val="0"/>
                <w:sz w:val="17"/>
              </w:rPr>
              <w:t>GHS07 Nocivo · GHS09 Medio ambiente</w:t>
            </w:r>
          </w:p>
        </w:tc>
        <w:tc>
          <w:tcPr>
            <w:tcW w:type="dxa" w:w="2211"/>
          </w:tcPr>
          <w:p>
            <w:pPr>
              <w:spacing w:after="20" w:before="0"/>
              <w:jc w:val="left"/>
            </w:pPr>
            <w:r>
              <w:rPr>
                <w:rFonts w:ascii="Calibri" w:hAnsi="Calibri"/>
                <w:b w:val="0"/>
                <w:i w:val="0"/>
                <w:sz w:val="17"/>
              </w:rPr>
              <w:t>Sólidos generales, seco</w:t>
            </w:r>
          </w:p>
        </w:tc>
      </w:tr>
      <w:tr>
        <w:tc>
          <w:tcPr>
            <w:tcW w:type="dxa" w:w="2041"/>
          </w:tcPr>
          <w:p>
            <w:pPr>
              <w:spacing w:after="20" w:before="0"/>
              <w:jc w:val="left"/>
            </w:pPr>
            <w:r>
              <w:rPr>
                <w:rFonts w:ascii="Calibri" w:hAnsi="Calibri"/>
                <w:b w:val="0"/>
                <w:i w:val="0"/>
                <w:sz w:val="17"/>
              </w:rPr>
              <w:t>Acetona</w:t>
            </w:r>
          </w:p>
        </w:tc>
        <w:tc>
          <w:tcPr>
            <w:tcW w:type="dxa" w:w="1191"/>
          </w:tcPr>
          <w:p>
            <w:pPr>
              <w:spacing w:after="20" w:before="0"/>
              <w:jc w:val="left"/>
            </w:pPr>
            <w:r>
              <w:rPr>
                <w:rFonts w:ascii="Calibri" w:hAnsi="Calibri"/>
                <w:b w:val="0"/>
                <w:i w:val="0"/>
                <w:sz w:val="17"/>
              </w:rPr>
              <w:t>67-64-1</w:t>
            </w:r>
          </w:p>
        </w:tc>
        <w:tc>
          <w:tcPr>
            <w:tcW w:type="dxa" w:w="1304"/>
          </w:tcPr>
          <w:p>
            <w:pPr>
              <w:spacing w:after="20" w:before="0"/>
              <w:jc w:val="left"/>
            </w:pPr>
            <w:r>
              <w:rPr>
                <w:rFonts w:ascii="Calibri" w:hAnsi="Calibri"/>
                <w:b w:val="0"/>
                <w:i w:val="0"/>
                <w:sz w:val="17"/>
              </w:rPr>
              <w:t>1090 / 3</w:t>
            </w:r>
          </w:p>
        </w:tc>
        <w:tc>
          <w:tcPr>
            <w:tcW w:type="dxa" w:w="2608"/>
          </w:tcPr>
          <w:p>
            <w:pPr>
              <w:spacing w:after="20" w:before="0"/>
              <w:jc w:val="left"/>
            </w:pPr>
            <w:r>
              <w:rPr>
                <w:rFonts w:ascii="Calibri" w:hAnsi="Calibri"/>
                <w:b w:val="0"/>
                <w:i w:val="0"/>
                <w:sz w:val="17"/>
              </w:rPr>
              <w:t>GHS02 Inflamable · GHS07</w:t>
            </w:r>
          </w:p>
        </w:tc>
        <w:tc>
          <w:tcPr>
            <w:tcW w:type="dxa" w:w="2211"/>
          </w:tcPr>
          <w:p>
            <w:pPr>
              <w:spacing w:after="20" w:before="0"/>
              <w:jc w:val="left"/>
            </w:pPr>
            <w:r>
              <w:rPr>
                <w:rFonts w:ascii="Calibri" w:hAnsi="Calibri"/>
                <w:b w:val="0"/>
                <w:i w:val="0"/>
                <w:sz w:val="17"/>
              </w:rPr>
              <w:t>Armario inflamables</w:t>
            </w:r>
          </w:p>
        </w:tc>
      </w:tr>
      <w:tr>
        <w:tc>
          <w:tcPr>
            <w:tcW w:type="dxa" w:w="2041"/>
          </w:tcPr>
          <w:p>
            <w:pPr>
              <w:spacing w:after="20" w:before="0"/>
              <w:jc w:val="left"/>
            </w:pPr>
            <w:r>
              <w:rPr>
                <w:rFonts w:ascii="Calibri" w:hAnsi="Calibri"/>
                <w:b w:val="0"/>
                <w:i w:val="0"/>
                <w:sz w:val="17"/>
              </w:rPr>
              <w:t>Metanol</w:t>
            </w:r>
          </w:p>
        </w:tc>
        <w:tc>
          <w:tcPr>
            <w:tcW w:type="dxa" w:w="1191"/>
          </w:tcPr>
          <w:p>
            <w:pPr>
              <w:spacing w:after="20" w:before="0"/>
              <w:jc w:val="left"/>
            </w:pPr>
            <w:r>
              <w:rPr>
                <w:rFonts w:ascii="Calibri" w:hAnsi="Calibri"/>
                <w:b w:val="0"/>
                <w:i w:val="0"/>
                <w:sz w:val="17"/>
              </w:rPr>
              <w:t>67-56-1</w:t>
            </w:r>
          </w:p>
        </w:tc>
        <w:tc>
          <w:tcPr>
            <w:tcW w:type="dxa" w:w="1304"/>
          </w:tcPr>
          <w:p>
            <w:pPr>
              <w:spacing w:after="20" w:before="0"/>
              <w:jc w:val="left"/>
            </w:pPr>
            <w:r>
              <w:rPr>
                <w:rFonts w:ascii="Calibri" w:hAnsi="Calibri"/>
                <w:b w:val="0"/>
                <w:i w:val="0"/>
                <w:sz w:val="17"/>
              </w:rPr>
              <w:t>1230 / 3</w:t>
            </w:r>
          </w:p>
        </w:tc>
        <w:tc>
          <w:tcPr>
            <w:tcW w:type="dxa" w:w="2608"/>
          </w:tcPr>
          <w:p>
            <w:pPr>
              <w:spacing w:after="20" w:before="0"/>
              <w:jc w:val="left"/>
            </w:pPr>
            <w:r>
              <w:rPr>
                <w:rFonts w:ascii="Calibri" w:hAnsi="Calibri"/>
                <w:b w:val="0"/>
                <w:i w:val="0"/>
                <w:sz w:val="17"/>
              </w:rPr>
              <w:t>GHS02 · GHS06 Tóxico · GHS08</w:t>
            </w:r>
          </w:p>
        </w:tc>
        <w:tc>
          <w:tcPr>
            <w:tcW w:type="dxa" w:w="2211"/>
          </w:tcPr>
          <w:p>
            <w:pPr>
              <w:spacing w:after="20" w:before="0"/>
              <w:jc w:val="left"/>
            </w:pPr>
            <w:r>
              <w:rPr>
                <w:rFonts w:ascii="Calibri" w:hAnsi="Calibri"/>
                <w:b w:val="0"/>
                <w:i w:val="0"/>
                <w:sz w:val="17"/>
              </w:rPr>
              <w:t>Armario inflamables</w:t>
            </w:r>
          </w:p>
        </w:tc>
      </w:tr>
      <w:tr>
        <w:tc>
          <w:tcPr>
            <w:tcW w:type="dxa" w:w="2041"/>
          </w:tcPr>
          <w:p>
            <w:pPr>
              <w:spacing w:after="20" w:before="0"/>
              <w:jc w:val="left"/>
            </w:pPr>
            <w:r>
              <w:rPr>
                <w:rFonts w:ascii="Calibri" w:hAnsi="Calibri"/>
                <w:b w:val="0"/>
                <w:i w:val="0"/>
                <w:sz w:val="17"/>
              </w:rPr>
              <w:t>Alcohol isopropílico</w:t>
            </w:r>
          </w:p>
        </w:tc>
        <w:tc>
          <w:tcPr>
            <w:tcW w:type="dxa" w:w="1191"/>
          </w:tcPr>
          <w:p>
            <w:pPr>
              <w:spacing w:after="20" w:before="0"/>
              <w:jc w:val="left"/>
            </w:pPr>
            <w:r>
              <w:rPr>
                <w:rFonts w:ascii="Calibri" w:hAnsi="Calibri"/>
                <w:b w:val="0"/>
                <w:i w:val="0"/>
                <w:sz w:val="17"/>
              </w:rPr>
              <w:t>67-63-0</w:t>
            </w:r>
          </w:p>
        </w:tc>
        <w:tc>
          <w:tcPr>
            <w:tcW w:type="dxa" w:w="1304"/>
          </w:tcPr>
          <w:p>
            <w:pPr>
              <w:spacing w:after="20" w:before="0"/>
              <w:jc w:val="left"/>
            </w:pPr>
            <w:r>
              <w:rPr>
                <w:rFonts w:ascii="Calibri" w:hAnsi="Calibri"/>
                <w:b w:val="0"/>
                <w:i w:val="0"/>
                <w:sz w:val="17"/>
              </w:rPr>
              <w:t>1219 / 3</w:t>
            </w:r>
          </w:p>
        </w:tc>
        <w:tc>
          <w:tcPr>
            <w:tcW w:type="dxa" w:w="2608"/>
          </w:tcPr>
          <w:p>
            <w:pPr>
              <w:spacing w:after="20" w:before="0"/>
              <w:jc w:val="left"/>
            </w:pPr>
            <w:r>
              <w:rPr>
                <w:rFonts w:ascii="Calibri" w:hAnsi="Calibri"/>
                <w:b w:val="0"/>
                <w:i w:val="0"/>
                <w:sz w:val="17"/>
              </w:rPr>
              <w:t>GHS02 Inflamable · GHS07</w:t>
            </w:r>
          </w:p>
        </w:tc>
        <w:tc>
          <w:tcPr>
            <w:tcW w:type="dxa" w:w="2211"/>
          </w:tcPr>
          <w:p>
            <w:pPr>
              <w:spacing w:after="20" w:before="0"/>
              <w:jc w:val="left"/>
            </w:pPr>
            <w:r>
              <w:rPr>
                <w:rFonts w:ascii="Calibri" w:hAnsi="Calibri"/>
                <w:b w:val="0"/>
                <w:i w:val="0"/>
                <w:sz w:val="17"/>
              </w:rPr>
              <w:t>Armario inflamables</w:t>
            </w:r>
          </w:p>
        </w:tc>
      </w:tr>
      <w:tr>
        <w:tc>
          <w:tcPr>
            <w:tcW w:type="dxa" w:w="2041"/>
          </w:tcPr>
          <w:p>
            <w:pPr>
              <w:spacing w:after="20" w:before="0"/>
              <w:jc w:val="left"/>
            </w:pPr>
            <w:r>
              <w:rPr>
                <w:rFonts w:ascii="Calibri" w:hAnsi="Calibri"/>
                <w:b w:val="0"/>
                <w:i w:val="0"/>
                <w:sz w:val="17"/>
              </w:rPr>
              <w:t>Nitrato de plata</w:t>
            </w:r>
          </w:p>
        </w:tc>
        <w:tc>
          <w:tcPr>
            <w:tcW w:type="dxa" w:w="1191"/>
          </w:tcPr>
          <w:p>
            <w:pPr>
              <w:spacing w:after="20" w:before="0"/>
              <w:jc w:val="left"/>
            </w:pPr>
            <w:r>
              <w:rPr>
                <w:rFonts w:ascii="Calibri" w:hAnsi="Calibri"/>
                <w:b w:val="0"/>
                <w:i w:val="0"/>
                <w:sz w:val="17"/>
              </w:rPr>
              <w:t>7761-88-8</w:t>
            </w:r>
          </w:p>
        </w:tc>
        <w:tc>
          <w:tcPr>
            <w:tcW w:type="dxa" w:w="1304"/>
          </w:tcPr>
          <w:p>
            <w:pPr>
              <w:spacing w:after="20" w:before="0"/>
              <w:jc w:val="left"/>
            </w:pPr>
            <w:r>
              <w:rPr>
                <w:rFonts w:ascii="Calibri" w:hAnsi="Calibri"/>
                <w:b w:val="0"/>
                <w:i w:val="0"/>
                <w:sz w:val="17"/>
              </w:rPr>
              <w:t>1493 / 5.1</w:t>
            </w:r>
          </w:p>
        </w:tc>
        <w:tc>
          <w:tcPr>
            <w:tcW w:type="dxa" w:w="2608"/>
          </w:tcPr>
          <w:p>
            <w:pPr>
              <w:spacing w:after="20" w:before="0"/>
              <w:jc w:val="left"/>
            </w:pPr>
            <w:r>
              <w:rPr>
                <w:rFonts w:ascii="Calibri" w:hAnsi="Calibri"/>
                <w:b w:val="0"/>
                <w:i w:val="0"/>
                <w:sz w:val="17"/>
              </w:rPr>
              <w:t>GHS03 Comburente · GHS05 · GHS09</w:t>
            </w:r>
          </w:p>
        </w:tc>
        <w:tc>
          <w:tcPr>
            <w:tcW w:type="dxa" w:w="2211"/>
          </w:tcPr>
          <w:p>
            <w:pPr>
              <w:spacing w:after="20" w:before="0"/>
              <w:jc w:val="left"/>
            </w:pPr>
            <w:r>
              <w:rPr>
                <w:rFonts w:ascii="Calibri" w:hAnsi="Calibri"/>
                <w:b w:val="0"/>
                <w:i w:val="0"/>
                <w:sz w:val="17"/>
              </w:rPr>
              <w:t>Oxidantes, protegido de la luz</w:t>
            </w:r>
          </w:p>
        </w:tc>
      </w:tr>
      <w:tr>
        <w:tc>
          <w:tcPr>
            <w:tcW w:type="dxa" w:w="2041"/>
          </w:tcPr>
          <w:p>
            <w:pPr>
              <w:spacing w:after="20" w:before="0"/>
              <w:jc w:val="left"/>
            </w:pPr>
            <w:r>
              <w:rPr>
                <w:rFonts w:ascii="Calibri" w:hAnsi="Calibri"/>
                <w:b w:val="0"/>
                <w:i w:val="0"/>
                <w:sz w:val="17"/>
              </w:rPr>
              <w:t>Dextrosa anhidra</w:t>
            </w:r>
          </w:p>
        </w:tc>
        <w:tc>
          <w:tcPr>
            <w:tcW w:type="dxa" w:w="1191"/>
          </w:tcPr>
          <w:p>
            <w:pPr>
              <w:spacing w:after="20" w:before="0"/>
              <w:jc w:val="left"/>
            </w:pPr>
            <w:r>
              <w:rPr>
                <w:rFonts w:ascii="Calibri" w:hAnsi="Calibri"/>
                <w:b w:val="0"/>
                <w:i w:val="0"/>
                <w:sz w:val="17"/>
              </w:rPr>
              <w:t>50-99-7</w:t>
            </w:r>
          </w:p>
        </w:tc>
        <w:tc>
          <w:tcPr>
            <w:tcW w:type="dxa" w:w="1304"/>
          </w:tcPr>
          <w:p>
            <w:pPr>
              <w:spacing w:after="20" w:before="0"/>
              <w:jc w:val="left"/>
            </w:pPr>
            <w:r>
              <w:rPr>
                <w:rFonts w:ascii="Calibri" w:hAnsi="Calibri"/>
                <w:b w:val="0"/>
                <w:i w:val="0"/>
                <w:sz w:val="17"/>
              </w:rPr>
              <w:t>No regulado</w:t>
            </w:r>
          </w:p>
        </w:tc>
        <w:tc>
          <w:tcPr>
            <w:tcW w:type="dxa" w:w="2608"/>
          </w:tcPr>
          <w:p>
            <w:pPr>
              <w:spacing w:after="20" w:before="0"/>
              <w:jc w:val="left"/>
            </w:pPr>
            <w:r>
              <w:rPr>
                <w:rFonts w:ascii="Calibri" w:hAnsi="Calibri"/>
                <w:b w:val="0"/>
                <w:i w:val="0"/>
                <w:sz w:val="17"/>
              </w:rPr>
              <w:t>No clasificado</w:t>
            </w:r>
          </w:p>
        </w:tc>
        <w:tc>
          <w:tcPr>
            <w:tcW w:type="dxa" w:w="2211"/>
          </w:tcPr>
          <w:p>
            <w:pPr>
              <w:spacing w:after="20" w:before="0"/>
              <w:jc w:val="left"/>
            </w:pPr>
            <w:r>
              <w:rPr>
                <w:rFonts w:ascii="Calibri" w:hAnsi="Calibri"/>
                <w:b w:val="0"/>
                <w:i w:val="0"/>
                <w:sz w:val="17"/>
              </w:rPr>
              <w:t>Sólidos generales</w:t>
            </w:r>
          </w:p>
        </w:tc>
      </w:tr>
      <w:tr>
        <w:tc>
          <w:tcPr>
            <w:tcW w:type="dxa" w:w="2041"/>
          </w:tcPr>
          <w:p>
            <w:pPr>
              <w:spacing w:after="20" w:before="0"/>
              <w:jc w:val="left"/>
            </w:pPr>
            <w:r>
              <w:rPr>
                <w:rFonts w:ascii="Calibri" w:hAnsi="Calibri"/>
                <w:b w:val="0"/>
                <w:i w:val="0"/>
                <w:sz w:val="17"/>
              </w:rPr>
              <w:t>Pintura de grafito conductiva</w:t>
            </w:r>
          </w:p>
        </w:tc>
        <w:tc>
          <w:tcPr>
            <w:tcW w:type="dxa" w:w="1191"/>
          </w:tcPr>
          <w:p>
            <w:pPr>
              <w:spacing w:after="20" w:before="0"/>
              <w:jc w:val="left"/>
            </w:pPr>
            <w:r>
              <w:rPr>
                <w:rFonts w:ascii="Calibri" w:hAnsi="Calibri"/>
                <w:b w:val="0"/>
                <w:i w:val="0"/>
                <w:sz w:val="17"/>
              </w:rPr>
              <w:t>—</w:t>
            </w:r>
          </w:p>
        </w:tc>
        <w:tc>
          <w:tcPr>
            <w:tcW w:type="dxa" w:w="1304"/>
          </w:tcPr>
          <w:p>
            <w:pPr>
              <w:spacing w:after="20" w:before="0"/>
              <w:jc w:val="left"/>
            </w:pPr>
            <w:r>
              <w:rPr>
                <w:rFonts w:ascii="Calibri" w:hAnsi="Calibri"/>
                <w:b w:val="0"/>
                <w:i w:val="0"/>
                <w:sz w:val="17"/>
              </w:rPr>
              <w:t>Por confirmar</w:t>
            </w:r>
          </w:p>
        </w:tc>
        <w:tc>
          <w:tcPr>
            <w:tcW w:type="dxa" w:w="2608"/>
          </w:tcPr>
          <w:p>
            <w:pPr>
              <w:spacing w:after="20" w:before="0"/>
              <w:jc w:val="left"/>
            </w:pPr>
            <w:r>
              <w:rPr>
                <w:rFonts w:ascii="Calibri" w:hAnsi="Calibri"/>
                <w:b w:val="0"/>
                <w:i w:val="0"/>
                <w:sz w:val="17"/>
              </w:rPr>
              <w:t>FDS pendiente</w:t>
            </w:r>
          </w:p>
        </w:tc>
        <w:tc>
          <w:tcPr>
            <w:tcW w:type="dxa" w:w="2211"/>
          </w:tcPr>
          <w:p>
            <w:pPr>
              <w:spacing w:after="20" w:before="0"/>
              <w:jc w:val="left"/>
            </w:pPr>
            <w:r>
              <w:rPr>
                <w:rFonts w:ascii="Calibri" w:hAnsi="Calibri"/>
                <w:b w:val="0"/>
                <w:i w:val="0"/>
                <w:sz w:val="17"/>
              </w:rPr>
              <w:t>Armario inflamables (hasta confirmar)</w:t>
            </w:r>
          </w:p>
        </w:tc>
      </w:tr>
      <w:tr>
        <w:tc>
          <w:tcPr>
            <w:tcW w:type="dxa" w:w="2041"/>
          </w:tcPr>
          <w:p>
            <w:pPr>
              <w:spacing w:after="20" w:before="0"/>
              <w:jc w:val="left"/>
            </w:pPr>
            <w:r>
              <w:rPr>
                <w:rFonts w:ascii="Calibri" w:hAnsi="Calibri"/>
                <w:b w:val="0"/>
                <w:i w:val="0"/>
                <w:sz w:val="17"/>
              </w:rPr>
              <w:t>Cloruro de sodio</w:t>
            </w:r>
          </w:p>
        </w:tc>
        <w:tc>
          <w:tcPr>
            <w:tcW w:type="dxa" w:w="1191"/>
          </w:tcPr>
          <w:p>
            <w:pPr>
              <w:spacing w:after="20" w:before="0"/>
              <w:jc w:val="left"/>
            </w:pPr>
            <w:r>
              <w:rPr>
                <w:rFonts w:ascii="Calibri" w:hAnsi="Calibri"/>
                <w:b w:val="0"/>
                <w:i w:val="0"/>
                <w:sz w:val="17"/>
              </w:rPr>
              <w:t>7647-14-5</w:t>
            </w:r>
          </w:p>
        </w:tc>
        <w:tc>
          <w:tcPr>
            <w:tcW w:type="dxa" w:w="1304"/>
          </w:tcPr>
          <w:p>
            <w:pPr>
              <w:spacing w:after="20" w:before="0"/>
              <w:jc w:val="left"/>
            </w:pPr>
            <w:r>
              <w:rPr>
                <w:rFonts w:ascii="Calibri" w:hAnsi="Calibri"/>
                <w:b w:val="0"/>
                <w:i w:val="0"/>
                <w:sz w:val="17"/>
              </w:rPr>
              <w:t>No regulado</w:t>
            </w:r>
          </w:p>
        </w:tc>
        <w:tc>
          <w:tcPr>
            <w:tcW w:type="dxa" w:w="2608"/>
          </w:tcPr>
          <w:p>
            <w:pPr>
              <w:spacing w:after="20" w:before="0"/>
              <w:jc w:val="left"/>
            </w:pPr>
            <w:r>
              <w:rPr>
                <w:rFonts w:ascii="Calibri" w:hAnsi="Calibri"/>
                <w:b w:val="0"/>
                <w:i w:val="0"/>
                <w:sz w:val="17"/>
              </w:rPr>
              <w:t>No clasificado</w:t>
            </w:r>
          </w:p>
        </w:tc>
        <w:tc>
          <w:tcPr>
            <w:tcW w:type="dxa" w:w="2211"/>
          </w:tcPr>
          <w:p>
            <w:pPr>
              <w:spacing w:after="20" w:before="0"/>
              <w:jc w:val="left"/>
            </w:pPr>
            <w:r>
              <w:rPr>
                <w:rFonts w:ascii="Calibri" w:hAnsi="Calibri"/>
                <w:b w:val="0"/>
                <w:i w:val="0"/>
                <w:sz w:val="17"/>
              </w:rPr>
              <w:t>Sólidos generales</w:t>
            </w:r>
          </w:p>
        </w:tc>
      </w:tr>
    </w:tbl>
    <w:p>
      <w:pPr>
        <w:spacing w:before="40" w:after="60"/>
      </w:pPr>
      <w:r>
        <w:rPr>
          <w:rFonts w:ascii="Calibri" w:hAnsi="Calibri"/>
          <w:b w:val="0"/>
          <w:i/>
          <w:sz w:val="17"/>
        </w:rPr>
        <w:t>Detalle por reactivo en «Fichas resumen de seguridad». Las FDS completas están enlazadas en el inventario (InventarioQuimicoAIUC).</w:t>
      </w:r>
    </w:p>
    <w:p>
      <w:pPr>
        <w:keepNext/>
        <w:spacing w:before="200" w:after="80"/>
      </w:pPr>
      <w:r>
        <w:rPr>
          <w:rFonts w:ascii="Calibri" w:hAnsi="Calibri"/>
          <w:b/>
          <w:i w:val="0"/>
          <w:color w:val="1F3864"/>
          <w:sz w:val="24"/>
        </w:rPr>
        <w:t>3. Equipo de protección personal (EPP)</w:t>
      </w:r>
    </w:p>
    <w:p>
      <w:pPr>
        <w:spacing w:before="0" w:after="80"/>
        <w:jc w:val="both"/>
      </w:pPr>
      <w:r>
        <w:rPr>
          <w:rFonts w:ascii="Calibri" w:hAnsi="Calibri"/>
          <w:b w:val="0"/>
          <w:i w:val="0"/>
          <w:sz w:val="20"/>
        </w:rPr>
        <w:t>Ante la manipulación de cualquier químico presente en el laboratorio es imperativo utilizar equipo de protección personal. Se detallan los elementos necesarios para cada actividad:</w:t>
      </w:r>
    </w:p>
    <w:tbl>
      <w:tblPr>
        <w:tblStyle w:val="Tablaconcuadrcula"/>
        <w:tblW w:type="auto" w:w="0"/>
        <w:jc w:val="center"/>
        <w:tblLayout w:type="fixed"/>
        <w:tblLook w:firstColumn="1" w:firstRow="1" w:lastColumn="0" w:lastRow="0" w:noHBand="0" w:noVBand="1" w:val="04A0"/>
        <w:tblLayout w:type="fixed"/>
      </w:tblPr>
      <w:tblGrid>
        <w:gridCol w:w="2041"/>
        <w:gridCol w:w="1474"/>
        <w:gridCol w:w="1814"/>
        <w:gridCol w:w="1871"/>
        <w:gridCol w:w="2154"/>
      </w:tblGrid>
      <w:tr>
        <w:trPr>
          <w:tblHeader w:val="true"/>
        </w:trPr>
        <w:tc>
          <w:tcPr>
            <w:tcW w:type="dxa" w:w="2041"/>
            <w:shd w:val="clear" w:color="auto" w:fill="E7E6E6"/>
          </w:tcPr>
          <w:p>
            <w:pPr>
              <w:spacing w:after="20" w:before="0"/>
              <w:jc w:val="center"/>
            </w:pPr>
            <w:r>
              <w:rPr>
                <w:rFonts w:ascii="Calibri" w:hAnsi="Calibri"/>
                <w:b/>
                <w:i w:val="0"/>
                <w:sz w:val="17"/>
              </w:rPr>
              <w:t>Actividad</w:t>
            </w:r>
          </w:p>
        </w:tc>
        <w:tc>
          <w:tcPr>
            <w:tcW w:type="dxa" w:w="1474"/>
            <w:shd w:val="clear" w:color="auto" w:fill="E7E6E6"/>
          </w:tcPr>
          <w:p>
            <w:pPr>
              <w:spacing w:after="20" w:before="0"/>
              <w:jc w:val="center"/>
            </w:pPr>
            <w:r>
              <w:rPr>
                <w:rFonts w:ascii="Calibri" w:hAnsi="Calibri"/>
                <w:b/>
                <w:i w:val="0"/>
                <w:sz w:val="17"/>
              </w:rPr>
              <w:t>Ropa</w:t>
            </w:r>
          </w:p>
        </w:tc>
        <w:tc>
          <w:tcPr>
            <w:tcW w:type="dxa" w:w="1814"/>
            <w:shd w:val="clear" w:color="auto" w:fill="E7E6E6"/>
          </w:tcPr>
          <w:p>
            <w:pPr>
              <w:spacing w:after="20" w:before="0"/>
              <w:jc w:val="center"/>
            </w:pPr>
            <w:r>
              <w:rPr>
                <w:rFonts w:ascii="Calibri" w:hAnsi="Calibri"/>
                <w:b/>
                <w:i w:val="0"/>
                <w:sz w:val="17"/>
              </w:rPr>
              <w:t>Manos</w:t>
            </w:r>
          </w:p>
        </w:tc>
        <w:tc>
          <w:tcPr>
            <w:tcW w:type="dxa" w:w="1871"/>
            <w:shd w:val="clear" w:color="auto" w:fill="E7E6E6"/>
          </w:tcPr>
          <w:p>
            <w:pPr>
              <w:spacing w:after="20" w:before="0"/>
              <w:jc w:val="center"/>
            </w:pPr>
            <w:r>
              <w:rPr>
                <w:rFonts w:ascii="Calibri" w:hAnsi="Calibri"/>
                <w:b/>
                <w:i w:val="0"/>
                <w:sz w:val="17"/>
              </w:rPr>
              <w:t>Ojos / cara</w:t>
            </w:r>
          </w:p>
        </w:tc>
        <w:tc>
          <w:tcPr>
            <w:tcW w:type="dxa" w:w="2154"/>
            <w:shd w:val="clear" w:color="auto" w:fill="E7E6E6"/>
          </w:tcPr>
          <w:p>
            <w:pPr>
              <w:spacing w:after="20" w:before="0"/>
              <w:jc w:val="center"/>
            </w:pPr>
            <w:r>
              <w:rPr>
                <w:rFonts w:ascii="Calibri" w:hAnsi="Calibri"/>
                <w:b/>
                <w:i w:val="0"/>
                <w:sz w:val="17"/>
              </w:rPr>
              <w:t>Respiratoria</w:t>
            </w:r>
          </w:p>
        </w:tc>
      </w:tr>
      <w:tr>
        <w:tc>
          <w:tcPr>
            <w:tcW w:type="dxa" w:w="2041"/>
          </w:tcPr>
          <w:p>
            <w:pPr>
              <w:spacing w:after="20" w:before="0"/>
              <w:jc w:val="left"/>
            </w:pPr>
            <w:r>
              <w:rPr>
                <w:rFonts w:ascii="Calibri" w:hAnsi="Calibri"/>
                <w:b w:val="0"/>
                <w:i w:val="0"/>
                <w:sz w:val="17"/>
              </w:rPr>
              <w:t>Limpieza con solventes (PTS-01)</w:t>
            </w:r>
          </w:p>
        </w:tc>
        <w:tc>
          <w:tcPr>
            <w:tcW w:type="dxa" w:w="1474"/>
          </w:tcPr>
          <w:p>
            <w:pPr>
              <w:spacing w:after="20" w:before="0"/>
              <w:jc w:val="left"/>
            </w:pPr>
            <w:r>
              <w:rPr>
                <w:rFonts w:ascii="Calibri" w:hAnsi="Calibri"/>
                <w:b w:val="0"/>
                <w:i w:val="0"/>
                <w:sz w:val="17"/>
              </w:rPr>
              <w:t>Bata manga larga</w:t>
            </w:r>
          </w:p>
        </w:tc>
        <w:tc>
          <w:tcPr>
            <w:tcW w:type="dxa" w:w="1814"/>
          </w:tcPr>
          <w:p>
            <w:pPr>
              <w:spacing w:after="20" w:before="0"/>
              <w:jc w:val="left"/>
            </w:pPr>
            <w:r>
              <w:rPr>
                <w:rFonts w:ascii="Calibri" w:hAnsi="Calibri"/>
                <w:b w:val="0"/>
                <w:i w:val="0"/>
                <w:sz w:val="17"/>
              </w:rPr>
              <w:t>Nitrilo (butilo si contacto prolongado)</w:t>
            </w:r>
          </w:p>
        </w:tc>
        <w:tc>
          <w:tcPr>
            <w:tcW w:type="dxa" w:w="1871"/>
          </w:tcPr>
          <w:p>
            <w:pPr>
              <w:spacing w:after="20" w:before="0"/>
              <w:jc w:val="left"/>
            </w:pPr>
            <w:r>
              <w:rPr>
                <w:rFonts w:ascii="Calibri" w:hAnsi="Calibri"/>
                <w:b w:val="0"/>
                <w:i w:val="0"/>
                <w:sz w:val="17"/>
              </w:rPr>
              <w:t>Gafas de seguridad</w:t>
            </w:r>
          </w:p>
        </w:tc>
        <w:tc>
          <w:tcPr>
            <w:tcW w:type="dxa" w:w="2154"/>
          </w:tcPr>
          <w:p>
            <w:pPr>
              <w:spacing w:after="20" w:before="0"/>
              <w:jc w:val="left"/>
            </w:pPr>
            <w:r>
              <w:rPr>
                <w:rFonts w:ascii="Calibri" w:hAnsi="Calibri"/>
                <w:b w:val="0"/>
                <w:i w:val="0"/>
                <w:sz w:val="17"/>
              </w:rPr>
              <w:t>Campana; si no hay, filtro vapores orgánicos A/AX</w:t>
            </w:r>
          </w:p>
        </w:tc>
      </w:tr>
      <w:tr>
        <w:tc>
          <w:tcPr>
            <w:tcW w:type="dxa" w:w="2041"/>
          </w:tcPr>
          <w:p>
            <w:pPr>
              <w:spacing w:after="20" w:before="0"/>
              <w:jc w:val="left"/>
            </w:pPr>
            <w:r>
              <w:rPr>
                <w:rFonts w:ascii="Calibri" w:hAnsi="Calibri"/>
                <w:b w:val="0"/>
                <w:i w:val="0"/>
                <w:sz w:val="17"/>
              </w:rPr>
              <w:t>Pinturas y aerografía (PTS-02)</w:t>
            </w:r>
          </w:p>
        </w:tc>
        <w:tc>
          <w:tcPr>
            <w:tcW w:type="dxa" w:w="1474"/>
          </w:tcPr>
          <w:p>
            <w:pPr>
              <w:spacing w:after="20" w:before="0"/>
              <w:jc w:val="left"/>
            </w:pPr>
            <w:r>
              <w:rPr>
                <w:rFonts w:ascii="Calibri" w:hAnsi="Calibri"/>
                <w:b w:val="0"/>
                <w:i w:val="0"/>
                <w:sz w:val="17"/>
              </w:rPr>
              <w:t>Bata manga larga</w:t>
            </w:r>
          </w:p>
        </w:tc>
        <w:tc>
          <w:tcPr>
            <w:tcW w:type="dxa" w:w="1814"/>
          </w:tcPr>
          <w:p>
            <w:pPr>
              <w:spacing w:after="20" w:before="0"/>
              <w:jc w:val="left"/>
            </w:pPr>
            <w:r>
              <w:rPr>
                <w:rFonts w:ascii="Calibri" w:hAnsi="Calibri"/>
                <w:b w:val="0"/>
                <w:i w:val="0"/>
                <w:sz w:val="17"/>
              </w:rPr>
              <w:t>Nitrilo</w:t>
            </w:r>
          </w:p>
        </w:tc>
        <w:tc>
          <w:tcPr>
            <w:tcW w:type="dxa" w:w="1871"/>
          </w:tcPr>
          <w:p>
            <w:pPr>
              <w:spacing w:after="20" w:before="0"/>
              <w:jc w:val="left"/>
            </w:pPr>
            <w:r>
              <w:rPr>
                <w:rFonts w:ascii="Calibri" w:hAnsi="Calibri"/>
                <w:b w:val="0"/>
                <w:i w:val="0"/>
                <w:sz w:val="17"/>
              </w:rPr>
              <w:t>Gafas de seguridad</w:t>
            </w:r>
          </w:p>
        </w:tc>
        <w:tc>
          <w:tcPr>
            <w:tcW w:type="dxa" w:w="2154"/>
          </w:tcPr>
          <w:p>
            <w:pPr>
              <w:spacing w:after="20" w:before="0"/>
              <w:jc w:val="left"/>
            </w:pPr>
            <w:r>
              <w:rPr>
                <w:rFonts w:ascii="Calibri" w:hAnsi="Calibri"/>
                <w:b w:val="0"/>
                <w:i w:val="0"/>
                <w:sz w:val="17"/>
              </w:rPr>
              <w:t>Respirador con filtros A1P2 o superior</w:t>
            </w:r>
          </w:p>
        </w:tc>
      </w:tr>
      <w:tr>
        <w:tc>
          <w:tcPr>
            <w:tcW w:type="dxa" w:w="2041"/>
          </w:tcPr>
          <w:p>
            <w:pPr>
              <w:spacing w:after="20" w:before="0"/>
              <w:jc w:val="left"/>
            </w:pPr>
            <w:r>
              <w:rPr>
                <w:rFonts w:ascii="Calibri" w:hAnsi="Calibri"/>
                <w:b w:val="0"/>
                <w:i w:val="0"/>
                <w:sz w:val="17"/>
              </w:rPr>
              <w:t>Ácidos y corrosivos concentrados (PTS-03)</w:t>
            </w:r>
          </w:p>
        </w:tc>
        <w:tc>
          <w:tcPr>
            <w:tcW w:type="dxa" w:w="1474"/>
          </w:tcPr>
          <w:p>
            <w:pPr>
              <w:spacing w:after="20" w:before="0"/>
              <w:jc w:val="left"/>
            </w:pPr>
            <w:r>
              <w:rPr>
                <w:rFonts w:ascii="Calibri" w:hAnsi="Calibri"/>
                <w:b w:val="0"/>
                <w:i w:val="0"/>
                <w:sz w:val="17"/>
              </w:rPr>
              <w:t>Bata + delantal químico</w:t>
            </w:r>
          </w:p>
        </w:tc>
        <w:tc>
          <w:tcPr>
            <w:tcW w:type="dxa" w:w="1814"/>
          </w:tcPr>
          <w:p>
            <w:pPr>
              <w:spacing w:after="20" w:before="0"/>
              <w:jc w:val="left"/>
            </w:pPr>
            <w:r>
              <w:rPr>
                <w:rFonts w:ascii="Calibri" w:hAnsi="Calibri"/>
                <w:b w:val="0"/>
                <w:i w:val="0"/>
                <w:sz w:val="17"/>
              </w:rPr>
              <w:t>Butilo, neopreno o PVC</w:t>
            </w:r>
          </w:p>
        </w:tc>
        <w:tc>
          <w:tcPr>
            <w:tcW w:type="dxa" w:w="1871"/>
          </w:tcPr>
          <w:p>
            <w:pPr>
              <w:spacing w:after="20" w:before="0"/>
              <w:jc w:val="left"/>
            </w:pPr>
            <w:r>
              <w:rPr>
                <w:rFonts w:ascii="Calibri" w:hAnsi="Calibri"/>
                <w:b w:val="0"/>
                <w:i w:val="0"/>
                <w:sz w:val="17"/>
              </w:rPr>
              <w:t>Gafas herméticas + protector facial</w:t>
            </w:r>
          </w:p>
        </w:tc>
        <w:tc>
          <w:tcPr>
            <w:tcW w:type="dxa" w:w="2154"/>
          </w:tcPr>
          <w:p>
            <w:pPr>
              <w:spacing w:after="20" w:before="0"/>
              <w:jc w:val="left"/>
            </w:pPr>
            <w:r>
              <w:rPr>
                <w:rFonts w:ascii="Calibri" w:hAnsi="Calibri"/>
                <w:b w:val="0"/>
                <w:i w:val="0"/>
                <w:sz w:val="17"/>
              </w:rPr>
              <w:t>Campana; si no hay, filtro gases ácidos E/ABEK + P2</w:t>
            </w:r>
          </w:p>
        </w:tc>
      </w:tr>
      <w:tr>
        <w:tc>
          <w:tcPr>
            <w:tcW w:type="dxa" w:w="2041"/>
          </w:tcPr>
          <w:p>
            <w:pPr>
              <w:spacing w:after="20" w:before="0"/>
              <w:jc w:val="left"/>
            </w:pPr>
            <w:r>
              <w:rPr>
                <w:rFonts w:ascii="Calibri" w:hAnsi="Calibri"/>
                <w:b w:val="0"/>
                <w:i w:val="0"/>
                <w:sz w:val="17"/>
              </w:rPr>
              <w:t>Solución de cobre ácido (PTS-04)</w:t>
            </w:r>
          </w:p>
        </w:tc>
        <w:tc>
          <w:tcPr>
            <w:tcW w:type="dxa" w:w="1474"/>
          </w:tcPr>
          <w:p>
            <w:pPr>
              <w:spacing w:after="20" w:before="0"/>
              <w:jc w:val="left"/>
            </w:pPr>
            <w:r>
              <w:rPr>
                <w:rFonts w:ascii="Calibri" w:hAnsi="Calibri"/>
                <w:b w:val="0"/>
                <w:i w:val="0"/>
                <w:sz w:val="17"/>
              </w:rPr>
              <w:t>Bata + delantal químico</w:t>
            </w:r>
          </w:p>
        </w:tc>
        <w:tc>
          <w:tcPr>
            <w:tcW w:type="dxa" w:w="1814"/>
          </w:tcPr>
          <w:p>
            <w:pPr>
              <w:spacing w:after="20" w:before="0"/>
              <w:jc w:val="left"/>
            </w:pPr>
            <w:r>
              <w:rPr>
                <w:rFonts w:ascii="Calibri" w:hAnsi="Calibri"/>
                <w:b w:val="0"/>
                <w:i w:val="0"/>
                <w:sz w:val="17"/>
              </w:rPr>
              <w:t>Nitrilo grueso</w:t>
            </w:r>
          </w:p>
        </w:tc>
        <w:tc>
          <w:tcPr>
            <w:tcW w:type="dxa" w:w="1871"/>
          </w:tcPr>
          <w:p>
            <w:pPr>
              <w:spacing w:after="20" w:before="0"/>
              <w:jc w:val="left"/>
            </w:pPr>
            <w:r>
              <w:rPr>
                <w:rFonts w:ascii="Calibri" w:hAnsi="Calibri"/>
                <w:b w:val="0"/>
                <w:i w:val="0"/>
                <w:sz w:val="17"/>
              </w:rPr>
              <w:t>Gafas herméticas</w:t>
            </w:r>
          </w:p>
        </w:tc>
        <w:tc>
          <w:tcPr>
            <w:tcW w:type="dxa" w:w="2154"/>
          </w:tcPr>
          <w:p>
            <w:pPr>
              <w:spacing w:after="20" w:before="0"/>
              <w:jc w:val="left"/>
            </w:pPr>
            <w:r>
              <w:rPr>
                <w:rFonts w:ascii="Calibri" w:hAnsi="Calibri"/>
                <w:b w:val="0"/>
                <w:i w:val="0"/>
                <w:sz w:val="17"/>
              </w:rPr>
              <w:t>Lugar ventilado; filtro gases ácidos si hay neblina</w:t>
            </w:r>
          </w:p>
        </w:tc>
      </w:tr>
      <w:tr>
        <w:tc>
          <w:tcPr>
            <w:tcW w:type="dxa" w:w="2041"/>
          </w:tcPr>
          <w:p>
            <w:pPr>
              <w:spacing w:after="20" w:before="0"/>
              <w:jc w:val="left"/>
            </w:pPr>
            <w:r>
              <w:rPr>
                <w:rFonts w:ascii="Calibri" w:hAnsi="Calibri"/>
                <w:b w:val="0"/>
                <w:i w:val="0"/>
                <w:sz w:val="17"/>
              </w:rPr>
              <w:t>Nitrato de plata / sólidos</w:t>
            </w:r>
          </w:p>
        </w:tc>
        <w:tc>
          <w:tcPr>
            <w:tcW w:type="dxa" w:w="1474"/>
          </w:tcPr>
          <w:p>
            <w:pPr>
              <w:spacing w:after="20" w:before="0"/>
              <w:jc w:val="left"/>
            </w:pPr>
            <w:r>
              <w:rPr>
                <w:rFonts w:ascii="Calibri" w:hAnsi="Calibri"/>
                <w:b w:val="0"/>
                <w:i w:val="0"/>
                <w:sz w:val="17"/>
              </w:rPr>
              <w:t>Bata manga larga</w:t>
            </w:r>
          </w:p>
        </w:tc>
        <w:tc>
          <w:tcPr>
            <w:tcW w:type="dxa" w:w="1814"/>
          </w:tcPr>
          <w:p>
            <w:pPr>
              <w:spacing w:after="20" w:before="0"/>
              <w:jc w:val="left"/>
            </w:pPr>
            <w:r>
              <w:rPr>
                <w:rFonts w:ascii="Calibri" w:hAnsi="Calibri"/>
                <w:b w:val="0"/>
                <w:i w:val="0"/>
                <w:sz w:val="17"/>
              </w:rPr>
              <w:t>Nitrilo</w:t>
            </w:r>
          </w:p>
        </w:tc>
        <w:tc>
          <w:tcPr>
            <w:tcW w:type="dxa" w:w="1871"/>
          </w:tcPr>
          <w:p>
            <w:pPr>
              <w:spacing w:after="20" w:before="0"/>
              <w:jc w:val="left"/>
            </w:pPr>
            <w:r>
              <w:rPr>
                <w:rFonts w:ascii="Calibri" w:hAnsi="Calibri"/>
                <w:b w:val="0"/>
                <w:i w:val="0"/>
                <w:sz w:val="17"/>
              </w:rPr>
              <w:t>Gafas de seguridad</w:t>
            </w:r>
          </w:p>
        </w:tc>
        <w:tc>
          <w:tcPr>
            <w:tcW w:type="dxa" w:w="2154"/>
          </w:tcPr>
          <w:p>
            <w:pPr>
              <w:spacing w:after="20" w:before="0"/>
              <w:jc w:val="left"/>
            </w:pPr>
            <w:r>
              <w:rPr>
                <w:rFonts w:ascii="Calibri" w:hAnsi="Calibri"/>
                <w:b w:val="0"/>
                <w:i w:val="0"/>
                <w:sz w:val="17"/>
              </w:rPr>
              <w:t>Evitar polvo; N95/P2 si se genera</w:t>
            </w:r>
          </w:p>
        </w:tc>
      </w:tr>
    </w:tbl>
    <w:p>
      <w:pPr>
        <w:spacing w:before="40" w:after="60"/>
      </w:pPr>
      <w:r>
        <w:rPr>
          <w:rFonts w:ascii="Calibri" w:hAnsi="Calibri"/>
          <w:b w:val="0"/>
          <w:i/>
          <w:sz w:val="18"/>
        </w:rPr>
        <w:t>En todo momento: calzado cerrado, pelo tomado, sin lentes de contacto al manipular corrosivos o solventes.</w:t>
      </w:r>
    </w:p>
    <w:p>
      <w:pPr>
        <w:keepNext/>
        <w:spacing w:before="200" w:after="80"/>
      </w:pPr>
      <w:r>
        <w:rPr>
          <w:rFonts w:ascii="Calibri" w:hAnsi="Calibri"/>
          <w:b/>
          <w:i w:val="0"/>
          <w:color w:val="1F3864"/>
          <w:sz w:val="24"/>
        </w:rPr>
        <w:t>4. Normas para la realización de actividades</w:t>
      </w:r>
    </w:p>
    <w:p>
      <w:pPr>
        <w:spacing w:before="0" w:after="80"/>
        <w:jc w:val="both"/>
      </w:pPr>
      <w:r>
        <w:rPr>
          <w:rFonts w:ascii="Calibri" w:hAnsi="Calibri"/>
          <w:b w:val="0"/>
          <w:i w:val="0"/>
          <w:sz w:val="20"/>
        </w:rPr>
        <w:t>Para el manejo y realización de cualquier actividad que requiera el uso de químicos, además del equipo de protección personal, es necesario seguir las siguientes normas:</w:t>
      </w:r>
    </w:p>
    <w:p>
      <w:pPr>
        <w:spacing w:before="0" w:after="30"/>
        <w:ind w:left="369" w:hanging="255"/>
      </w:pPr>
      <w:r>
        <w:rPr>
          <w:rFonts w:ascii="Calibri" w:hAnsi="Calibri"/>
          <w:b w:val="0"/>
          <w:i w:val="0"/>
          <w:sz w:val="20"/>
        </w:rPr>
        <w:t>•</w:t>
        <w:tab/>
      </w:r>
      <w:r>
        <w:rPr>
          <w:rFonts w:ascii="Calibri" w:hAnsi="Calibri"/>
          <w:b/>
          <w:i w:val="0"/>
          <w:sz w:val="20"/>
        </w:rPr>
        <w:t>Lugar de trabajo apropiado:</w:t>
      </w:r>
      <w:r>
        <w:rPr>
          <w:rFonts w:ascii="Calibri" w:hAnsi="Calibri"/>
          <w:b w:val="0"/>
          <w:i w:val="0"/>
          <w:sz w:val="20"/>
        </w:rPr>
        <w:t xml:space="preserve"> la manipulación de químicos peligrosos requiere un lugar despejado, con poco flujo de personas y el uso de campana de extracción o un lugar bien ventilado.</w:t>
      </w:r>
    </w:p>
    <w:p>
      <w:pPr>
        <w:spacing w:before="0" w:after="30"/>
        <w:ind w:left="369" w:hanging="255"/>
      </w:pPr>
      <w:r>
        <w:rPr>
          <w:rFonts w:ascii="Calibri" w:hAnsi="Calibri"/>
          <w:b w:val="0"/>
          <w:i w:val="0"/>
          <w:sz w:val="20"/>
        </w:rPr>
        <w:t>•</w:t>
        <w:tab/>
      </w:r>
      <w:r>
        <w:rPr>
          <w:rFonts w:ascii="Calibri" w:hAnsi="Calibri"/>
          <w:b/>
          <w:i w:val="0"/>
          <w:sz w:val="20"/>
        </w:rPr>
        <w:t>Trabajo bajo supervisión de un par:</w:t>
      </w:r>
      <w:r>
        <w:rPr>
          <w:rFonts w:ascii="Calibri" w:hAnsi="Calibri"/>
          <w:b w:val="0"/>
          <w:i w:val="0"/>
          <w:sz w:val="20"/>
        </w:rPr>
        <w:t xml:space="preserve"> al trabajar con elementos corrosivos, volátiles o tóxicos es obligatorio que otra persona esté presente, para dar aviso y socorrer en caso de accidente.</w:t>
      </w:r>
    </w:p>
    <w:p>
      <w:pPr>
        <w:spacing w:before="0" w:after="30"/>
        <w:ind w:left="369" w:hanging="255"/>
      </w:pPr>
      <w:r>
        <w:rPr>
          <w:rFonts w:ascii="Calibri" w:hAnsi="Calibri"/>
          <w:b w:val="0"/>
          <w:i w:val="0"/>
          <w:sz w:val="20"/>
        </w:rPr>
        <w:t>•</w:t>
        <w:tab/>
      </w:r>
      <w:r>
        <w:rPr>
          <w:rFonts w:ascii="Calibri" w:hAnsi="Calibri"/>
          <w:b/>
          <w:i w:val="0"/>
          <w:sz w:val="20"/>
        </w:rPr>
        <w:t>Distracciones:</w:t>
      </w:r>
      <w:r>
        <w:rPr>
          <w:rFonts w:ascii="Calibri" w:hAnsi="Calibri"/>
          <w:b w:val="0"/>
          <w:i w:val="0"/>
          <w:sz w:val="20"/>
        </w:rPr>
        <w:t xml:space="preserve"> queda prohibido el uso de celulares, tablets o cualquier elemento que pueda romper la concentración durante la manipulación de elementos corrosivos, volátiles, etc.</w:t>
      </w:r>
    </w:p>
    <w:p>
      <w:pPr>
        <w:spacing w:before="0" w:after="30"/>
        <w:ind w:left="369" w:hanging="255"/>
      </w:pPr>
      <w:r>
        <w:rPr>
          <w:rFonts w:ascii="Calibri" w:hAnsi="Calibri"/>
          <w:b w:val="0"/>
          <w:i w:val="0"/>
          <w:sz w:val="20"/>
        </w:rPr>
        <w:t>•</w:t>
        <w:tab/>
      </w:r>
      <w:r>
        <w:rPr>
          <w:rFonts w:ascii="Calibri" w:hAnsi="Calibri"/>
          <w:b/>
          <w:i w:val="0"/>
          <w:sz w:val="20"/>
        </w:rPr>
        <w:t>Ventilación:</w:t>
      </w:r>
      <w:r>
        <w:rPr>
          <w:rFonts w:ascii="Calibri" w:hAnsi="Calibri"/>
          <w:b w:val="0"/>
          <w:i w:val="0"/>
          <w:sz w:val="20"/>
        </w:rPr>
        <w:t xml:space="preserve"> mantener una buena ventilación del espacio antes, durante y después de cualquier actividad con químicos, para reducir inhalaciones accidentales.</w:t>
      </w:r>
    </w:p>
    <w:p>
      <w:pPr>
        <w:spacing w:before="0" w:after="30"/>
        <w:ind w:left="369" w:hanging="255"/>
      </w:pPr>
      <w:r>
        <w:rPr>
          <w:rFonts w:ascii="Calibri" w:hAnsi="Calibri"/>
          <w:b w:val="0"/>
          <w:i w:val="0"/>
          <w:sz w:val="20"/>
        </w:rPr>
        <w:t>•</w:t>
        <w:tab/>
      </w:r>
      <w:r>
        <w:rPr>
          <w:rFonts w:ascii="Calibri" w:hAnsi="Calibri"/>
          <w:b/>
          <w:i w:val="0"/>
          <w:sz w:val="20"/>
        </w:rPr>
        <w:t>Almacenamiento seguro:</w:t>
      </w:r>
      <w:r>
        <w:rPr>
          <w:rFonts w:ascii="Calibri" w:hAnsi="Calibri"/>
          <w:b w:val="0"/>
          <w:i w:val="0"/>
          <w:sz w:val="20"/>
        </w:rPr>
        <w:t xml:space="preserve"> guardar los químicos en sus lugares correspondientes y según su compatibilidad química (sección 5). Todo residuo o solución fabricada durante el procedimiento debe guardarse en el bidón de residuos correspondiente (sección 6).</w:t>
      </w:r>
    </w:p>
    <w:p>
      <w:pPr>
        <w:spacing w:before="0" w:after="30"/>
        <w:ind w:left="369" w:hanging="255"/>
      </w:pPr>
      <w:r>
        <w:rPr>
          <w:rFonts w:ascii="Calibri" w:hAnsi="Calibri"/>
          <w:b w:val="0"/>
          <w:i w:val="0"/>
          <w:sz w:val="20"/>
        </w:rPr>
        <w:t>•</w:t>
        <w:tab/>
      </w:r>
      <w:r>
        <w:rPr>
          <w:rFonts w:ascii="Calibri" w:hAnsi="Calibri"/>
          <w:b/>
          <w:i w:val="0"/>
          <w:sz w:val="20"/>
        </w:rPr>
        <w:t>Conocer los riesgos:</w:t>
      </w:r>
      <w:r>
        <w:rPr>
          <w:rFonts w:ascii="Calibri" w:hAnsi="Calibri"/>
          <w:b w:val="0"/>
          <w:i w:val="0"/>
          <w:sz w:val="20"/>
        </w:rPr>
        <w:t xml:space="preserve"> leer la ficha resumen y la FDS de cada reactivo antes de usarlo por primera vez; conocer la ubicación de ducha de emergencia, lavaojos, extintor y kit de derrames.</w:t>
      </w:r>
    </w:p>
    <w:p>
      <w:pPr>
        <w:spacing w:before="0" w:after="30"/>
        <w:ind w:left="369" w:hanging="255"/>
      </w:pPr>
      <w:r>
        <w:rPr>
          <w:rFonts w:ascii="Calibri" w:hAnsi="Calibri"/>
          <w:b w:val="0"/>
          <w:i w:val="0"/>
          <w:sz w:val="20"/>
        </w:rPr>
        <w:t>•</w:t>
        <w:tab/>
      </w:r>
      <w:r>
        <w:rPr>
          <w:rFonts w:ascii="Calibri" w:hAnsi="Calibri"/>
          <w:b/>
          <w:i w:val="0"/>
          <w:sz w:val="20"/>
        </w:rPr>
        <w:t>Rotulado:</w:t>
      </w:r>
      <w:r>
        <w:rPr>
          <w:rFonts w:ascii="Calibri" w:hAnsi="Calibri"/>
          <w:b w:val="0"/>
          <w:i w:val="0"/>
          <w:sz w:val="20"/>
        </w:rPr>
        <w:t xml:space="preserve"> todo envase, incluidas pisetas y soluciones preparadas, debe indicar contenido, concentración, pictogramas, fecha y responsable. No reutilizar envases de alimentos.</w:t>
      </w:r>
    </w:p>
    <w:p>
      <w:pPr>
        <w:spacing w:before="0" w:after="30"/>
        <w:ind w:left="369" w:hanging="255"/>
      </w:pPr>
      <w:r>
        <w:rPr>
          <w:rFonts w:ascii="Calibri" w:hAnsi="Calibri"/>
          <w:b w:val="0"/>
          <w:i w:val="0"/>
          <w:sz w:val="20"/>
        </w:rPr>
        <w:t>•</w:t>
        <w:tab/>
      </w:r>
      <w:r>
        <w:rPr>
          <w:rFonts w:ascii="Calibri" w:hAnsi="Calibri"/>
          <w:b/>
          <w:i w:val="0"/>
          <w:sz w:val="20"/>
        </w:rPr>
        <w:t>Cantidades mínimas:</w:t>
      </w:r>
      <w:r>
        <w:rPr>
          <w:rFonts w:ascii="Calibri" w:hAnsi="Calibri"/>
          <w:b w:val="0"/>
          <w:i w:val="0"/>
          <w:sz w:val="20"/>
        </w:rPr>
        <w:t xml:space="preserve"> trasvasijar solo lo necesario y cerrar los envases inmediatamente después de usarlos. Nunca devolver reactivo sobrante al envase original.</w:t>
      </w:r>
    </w:p>
    <w:p>
      <w:pPr>
        <w:spacing w:before="0" w:after="30"/>
        <w:ind w:left="369" w:hanging="255"/>
      </w:pPr>
      <w:r>
        <w:rPr>
          <w:rFonts w:ascii="Calibri" w:hAnsi="Calibri"/>
          <w:b w:val="0"/>
          <w:i w:val="0"/>
          <w:sz w:val="20"/>
        </w:rPr>
        <w:t>•</w:t>
        <w:tab/>
      </w:r>
      <w:r>
        <w:rPr>
          <w:rFonts w:ascii="Calibri" w:hAnsi="Calibri"/>
          <w:b/>
          <w:i w:val="0"/>
          <w:sz w:val="20"/>
        </w:rPr>
        <w:t>Ácidos:</w:t>
      </w:r>
      <w:r>
        <w:rPr>
          <w:rFonts w:ascii="Calibri" w:hAnsi="Calibri"/>
          <w:b w:val="0"/>
          <w:i w:val="0"/>
          <w:sz w:val="20"/>
        </w:rPr>
        <w:t xml:space="preserve"> siempre agregar el ácido sobre el agua, lentamente y con agitación; nunca agua sobre ácido.</w:t>
      </w:r>
    </w:p>
    <w:p>
      <w:pPr>
        <w:spacing w:before="0" w:after="30"/>
        <w:ind w:left="369" w:hanging="255"/>
      </w:pPr>
      <w:r>
        <w:rPr>
          <w:rFonts w:ascii="Calibri" w:hAnsi="Calibri"/>
          <w:b w:val="0"/>
          <w:i w:val="0"/>
          <w:sz w:val="20"/>
        </w:rPr>
        <w:t>•</w:t>
        <w:tab/>
      </w:r>
      <w:r>
        <w:rPr>
          <w:rFonts w:ascii="Calibri" w:hAnsi="Calibri"/>
          <w:b/>
          <w:i w:val="0"/>
          <w:sz w:val="20"/>
        </w:rPr>
        <w:t>Higiene:</w:t>
      </w:r>
      <w:r>
        <w:rPr>
          <w:rFonts w:ascii="Calibri" w:hAnsi="Calibri"/>
          <w:b w:val="0"/>
          <w:i w:val="0"/>
          <w:sz w:val="20"/>
        </w:rPr>
        <w:t xml:space="preserve"> prohibido comer, beber, fumar o maquillarse en el laboratorio. Lavarse las manos al terminar y al retirar los guantes.</w:t>
      </w:r>
    </w:p>
    <w:p>
      <w:pPr>
        <w:spacing w:before="0" w:after="30"/>
        <w:ind w:left="369" w:hanging="255"/>
      </w:pPr>
      <w:r>
        <w:rPr>
          <w:rFonts w:ascii="Calibri" w:hAnsi="Calibri"/>
          <w:b w:val="0"/>
          <w:i w:val="0"/>
          <w:sz w:val="20"/>
        </w:rPr>
        <w:t>•</w:t>
        <w:tab/>
      </w:r>
      <w:r>
        <w:rPr>
          <w:rFonts w:ascii="Calibri" w:hAnsi="Calibri"/>
          <w:b/>
          <w:i w:val="0"/>
          <w:sz w:val="20"/>
        </w:rPr>
        <w:t>Fuentes de ignición:</w:t>
      </w:r>
      <w:r>
        <w:rPr>
          <w:rFonts w:ascii="Calibri" w:hAnsi="Calibri"/>
          <w:b w:val="0"/>
          <w:i w:val="0"/>
          <w:sz w:val="20"/>
        </w:rPr>
        <w:t xml:space="preserve"> no usar llamas ni equipos que generen chispas o calor cerca de solventes o pintura.</w:t>
      </w:r>
    </w:p>
    <w:p>
      <w:pPr>
        <w:keepNext/>
        <w:spacing w:before="200" w:after="80"/>
      </w:pPr>
      <w:r>
        <w:rPr>
          <w:rFonts w:ascii="Calibri" w:hAnsi="Calibri"/>
          <w:b/>
          <w:i w:val="0"/>
          <w:color w:val="1F3864"/>
          <w:sz w:val="24"/>
        </w:rPr>
        <w:t>5. Almacenamiento y compatibilidad</w:t>
      </w:r>
    </w:p>
    <w:p>
      <w:pPr>
        <w:spacing w:before="0" w:after="80"/>
        <w:jc w:val="both"/>
      </w:pPr>
      <w:r>
        <w:rPr>
          <w:rFonts w:ascii="Calibri" w:hAnsi="Calibri"/>
          <w:b w:val="0"/>
          <w:i w:val="0"/>
          <w:sz w:val="20"/>
        </w:rPr>
        <w:t>Según la Matriz guía de almacenamiento químico mixto (clases UN) y la sección 10 de cada FDS, los reactivos se almacenan en los siguientes grupos, separados físicamente entre sí:</w:t>
      </w:r>
    </w:p>
    <w:tbl>
      <w:tblPr>
        <w:tblStyle w:val="Tablaconcuadrcula"/>
        <w:tblW w:type="auto" w:w="0"/>
        <w:jc w:val="center"/>
        <w:tblLayout w:type="fixed"/>
        <w:tblLook w:firstColumn="1" w:firstRow="1" w:lastColumn="0" w:lastRow="0" w:noHBand="0" w:noVBand="1" w:val="04A0"/>
        <w:tblLayout w:type="fixed"/>
      </w:tblPr>
      <w:tblGrid>
        <w:gridCol w:w="2041"/>
        <w:gridCol w:w="3005"/>
        <w:gridCol w:w="4535"/>
      </w:tblGrid>
      <w:tr>
        <w:trPr>
          <w:tblHeader w:val="true"/>
        </w:trPr>
        <w:tc>
          <w:tcPr>
            <w:tcW w:type="dxa" w:w="2041"/>
            <w:shd w:val="clear" w:color="auto" w:fill="E7E6E6"/>
          </w:tcPr>
          <w:p>
            <w:pPr>
              <w:spacing w:after="20" w:before="0"/>
              <w:jc w:val="center"/>
            </w:pPr>
            <w:r>
              <w:rPr>
                <w:rFonts w:ascii="Calibri" w:hAnsi="Calibri"/>
                <w:b/>
                <w:i w:val="0"/>
                <w:sz w:val="17"/>
              </w:rPr>
              <w:t>Grupo</w:t>
            </w:r>
          </w:p>
        </w:tc>
        <w:tc>
          <w:tcPr>
            <w:tcW w:type="dxa" w:w="3005"/>
            <w:shd w:val="clear" w:color="auto" w:fill="E7E6E6"/>
          </w:tcPr>
          <w:p>
            <w:pPr>
              <w:spacing w:after="20" w:before="0"/>
              <w:jc w:val="center"/>
            </w:pPr>
            <w:r>
              <w:rPr>
                <w:rFonts w:ascii="Calibri" w:hAnsi="Calibri"/>
                <w:b/>
                <w:i w:val="0"/>
                <w:sz w:val="17"/>
              </w:rPr>
              <w:t>Reactivos</w:t>
            </w:r>
          </w:p>
        </w:tc>
        <w:tc>
          <w:tcPr>
            <w:tcW w:type="dxa" w:w="4535"/>
            <w:shd w:val="clear" w:color="auto" w:fill="E7E6E6"/>
          </w:tcPr>
          <w:p>
            <w:pPr>
              <w:spacing w:after="20" w:before="0"/>
              <w:jc w:val="center"/>
            </w:pPr>
            <w:r>
              <w:rPr>
                <w:rFonts w:ascii="Calibri" w:hAnsi="Calibri"/>
                <w:b/>
                <w:i w:val="0"/>
                <w:sz w:val="17"/>
              </w:rPr>
              <w:t>Mantener separado de</w:t>
            </w:r>
          </w:p>
        </w:tc>
      </w:tr>
      <w:tr>
        <w:tc>
          <w:tcPr>
            <w:tcW w:type="dxa" w:w="2041"/>
          </w:tcPr>
          <w:p>
            <w:pPr>
              <w:spacing w:after="20" w:before="0"/>
              <w:jc w:val="left"/>
            </w:pPr>
            <w:r>
              <w:rPr>
                <w:rFonts w:ascii="Calibri" w:hAnsi="Calibri"/>
                <w:b w:val="0"/>
                <w:i w:val="0"/>
                <w:sz w:val="17"/>
              </w:rPr>
              <w:t>Inflamables (clase 3)</w:t>
            </w:r>
          </w:p>
        </w:tc>
        <w:tc>
          <w:tcPr>
            <w:tcW w:type="dxa" w:w="3005"/>
          </w:tcPr>
          <w:p>
            <w:pPr>
              <w:spacing w:after="20" w:before="0"/>
              <w:jc w:val="left"/>
            </w:pPr>
            <w:r>
              <w:rPr>
                <w:rFonts w:ascii="Calibri" w:hAnsi="Calibri"/>
                <w:b w:val="0"/>
                <w:i w:val="0"/>
                <w:sz w:val="17"/>
              </w:rPr>
              <w:t>Acetona, metanol, alcohol isopropílico, pintura de grafito</w:t>
            </w:r>
          </w:p>
        </w:tc>
        <w:tc>
          <w:tcPr>
            <w:tcW w:type="dxa" w:w="4535"/>
          </w:tcPr>
          <w:p>
            <w:pPr>
              <w:spacing w:after="20" w:before="0"/>
              <w:jc w:val="left"/>
            </w:pPr>
            <w:r>
              <w:rPr>
                <w:rFonts w:ascii="Calibri" w:hAnsi="Calibri"/>
                <w:b w:val="0"/>
                <w:i w:val="0"/>
                <w:sz w:val="17"/>
              </w:rPr>
              <w:t>Ácido sulfúrico, nitrato de plata, oxidantes y fuentes de calor. Armario de inflamables.</w:t>
            </w:r>
          </w:p>
        </w:tc>
      </w:tr>
      <w:tr>
        <w:tc>
          <w:tcPr>
            <w:tcW w:type="dxa" w:w="2041"/>
          </w:tcPr>
          <w:p>
            <w:pPr>
              <w:spacing w:after="20" w:before="0"/>
              <w:jc w:val="left"/>
            </w:pPr>
            <w:r>
              <w:rPr>
                <w:rFonts w:ascii="Calibri" w:hAnsi="Calibri"/>
                <w:b w:val="0"/>
                <w:i w:val="0"/>
                <w:sz w:val="17"/>
              </w:rPr>
              <w:t>Corrosivos ácidos (clase 8)</w:t>
            </w:r>
          </w:p>
        </w:tc>
        <w:tc>
          <w:tcPr>
            <w:tcW w:type="dxa" w:w="3005"/>
          </w:tcPr>
          <w:p>
            <w:pPr>
              <w:spacing w:after="20" w:before="0"/>
              <w:jc w:val="left"/>
            </w:pPr>
            <w:r>
              <w:rPr>
                <w:rFonts w:ascii="Calibri" w:hAnsi="Calibri"/>
                <w:b w:val="0"/>
                <w:i w:val="0"/>
                <w:sz w:val="17"/>
              </w:rPr>
              <w:t>Ácido sulfúrico 98 %, solución electrolítica de cobre ácido</w:t>
            </w:r>
          </w:p>
        </w:tc>
        <w:tc>
          <w:tcPr>
            <w:tcW w:type="dxa" w:w="4535"/>
          </w:tcPr>
          <w:p>
            <w:pPr>
              <w:spacing w:after="20" w:before="0"/>
              <w:jc w:val="left"/>
            </w:pPr>
            <w:r>
              <w:rPr>
                <w:rFonts w:ascii="Calibri" w:hAnsi="Calibri"/>
                <w:b w:val="0"/>
                <w:i w:val="0"/>
                <w:sz w:val="17"/>
              </w:rPr>
              <w:t>Hidróxido de sodio (reacción violenta), inflamables, metales y orgánicos. Bandeja de contención.</w:t>
            </w:r>
          </w:p>
        </w:tc>
      </w:tr>
      <w:tr>
        <w:tc>
          <w:tcPr>
            <w:tcW w:type="dxa" w:w="2041"/>
          </w:tcPr>
          <w:p>
            <w:pPr>
              <w:spacing w:after="20" w:before="0"/>
              <w:jc w:val="left"/>
            </w:pPr>
            <w:r>
              <w:rPr>
                <w:rFonts w:ascii="Calibri" w:hAnsi="Calibri"/>
                <w:b w:val="0"/>
                <w:i w:val="0"/>
                <w:sz w:val="17"/>
              </w:rPr>
              <w:t>Corrosivos básicos (clase 8)</w:t>
            </w:r>
          </w:p>
        </w:tc>
        <w:tc>
          <w:tcPr>
            <w:tcW w:type="dxa" w:w="3005"/>
          </w:tcPr>
          <w:p>
            <w:pPr>
              <w:spacing w:after="20" w:before="0"/>
              <w:jc w:val="left"/>
            </w:pPr>
            <w:r>
              <w:rPr>
                <w:rFonts w:ascii="Calibri" w:hAnsi="Calibri"/>
                <w:b w:val="0"/>
                <w:i w:val="0"/>
                <w:sz w:val="17"/>
              </w:rPr>
              <w:t>Hidróxido de sodio 1 M</w:t>
            </w:r>
          </w:p>
        </w:tc>
        <w:tc>
          <w:tcPr>
            <w:tcW w:type="dxa" w:w="4535"/>
          </w:tcPr>
          <w:p>
            <w:pPr>
              <w:spacing w:after="20" w:before="0"/>
              <w:jc w:val="left"/>
            </w:pPr>
            <w:r>
              <w:rPr>
                <w:rFonts w:ascii="Calibri" w:hAnsi="Calibri"/>
                <w:b w:val="0"/>
                <w:i w:val="0"/>
                <w:sz w:val="17"/>
              </w:rPr>
              <w:t>Ácidos, aluminio, zinc y estaño (liberan H₂), azúcares. Bandeja independiente.</w:t>
            </w:r>
          </w:p>
        </w:tc>
      </w:tr>
      <w:tr>
        <w:tc>
          <w:tcPr>
            <w:tcW w:type="dxa" w:w="2041"/>
          </w:tcPr>
          <w:p>
            <w:pPr>
              <w:spacing w:after="20" w:before="0"/>
              <w:jc w:val="left"/>
            </w:pPr>
            <w:r>
              <w:rPr>
                <w:rFonts w:ascii="Calibri" w:hAnsi="Calibri"/>
                <w:b w:val="0"/>
                <w:i w:val="0"/>
                <w:sz w:val="17"/>
              </w:rPr>
              <w:t>Oxidantes (clase 5.1)</w:t>
            </w:r>
          </w:p>
        </w:tc>
        <w:tc>
          <w:tcPr>
            <w:tcW w:type="dxa" w:w="3005"/>
          </w:tcPr>
          <w:p>
            <w:pPr>
              <w:spacing w:after="20" w:before="0"/>
              <w:jc w:val="left"/>
            </w:pPr>
            <w:r>
              <w:rPr>
                <w:rFonts w:ascii="Calibri" w:hAnsi="Calibri"/>
                <w:b w:val="0"/>
                <w:i w:val="0"/>
                <w:sz w:val="17"/>
              </w:rPr>
              <w:t>Nitrato de plata</w:t>
            </w:r>
          </w:p>
        </w:tc>
        <w:tc>
          <w:tcPr>
            <w:tcW w:type="dxa" w:w="4535"/>
          </w:tcPr>
          <w:p>
            <w:pPr>
              <w:spacing w:after="20" w:before="0"/>
              <w:jc w:val="left"/>
            </w:pPr>
            <w:r>
              <w:rPr>
                <w:rFonts w:ascii="Calibri" w:hAnsi="Calibri"/>
                <w:b w:val="0"/>
                <w:i w:val="0"/>
                <w:sz w:val="17"/>
              </w:rPr>
              <w:t>Inflamables, dextrosa y demás orgánicos, reductores. Frasco ámbar, protegido de la luz.</w:t>
            </w:r>
          </w:p>
        </w:tc>
      </w:tr>
      <w:tr>
        <w:tc>
          <w:tcPr>
            <w:tcW w:type="dxa" w:w="2041"/>
          </w:tcPr>
          <w:p>
            <w:pPr>
              <w:spacing w:after="20" w:before="0"/>
              <w:jc w:val="left"/>
            </w:pPr>
            <w:r>
              <w:rPr>
                <w:rFonts w:ascii="Calibri" w:hAnsi="Calibri"/>
                <w:b w:val="0"/>
                <w:i w:val="0"/>
                <w:sz w:val="17"/>
              </w:rPr>
              <w:t>Varios / no peligrosos</w:t>
            </w:r>
          </w:p>
        </w:tc>
        <w:tc>
          <w:tcPr>
            <w:tcW w:type="dxa" w:w="3005"/>
          </w:tcPr>
          <w:p>
            <w:pPr>
              <w:spacing w:after="20" w:before="0"/>
              <w:jc w:val="left"/>
            </w:pPr>
            <w:r>
              <w:rPr>
                <w:rFonts w:ascii="Calibri" w:hAnsi="Calibri"/>
                <w:b w:val="0"/>
                <w:i w:val="0"/>
                <w:sz w:val="17"/>
              </w:rPr>
              <w:t>Sulfato de cobre (clase 9), dextrosa, cloruro de sodio</w:t>
            </w:r>
          </w:p>
        </w:tc>
        <w:tc>
          <w:tcPr>
            <w:tcW w:type="dxa" w:w="4535"/>
          </w:tcPr>
          <w:p>
            <w:pPr>
              <w:spacing w:after="20" w:before="0"/>
              <w:jc w:val="left"/>
            </w:pPr>
            <w:r>
              <w:rPr>
                <w:rFonts w:ascii="Calibri" w:hAnsi="Calibri"/>
                <w:b w:val="0"/>
                <w:i w:val="0"/>
                <w:sz w:val="17"/>
              </w:rPr>
              <w:t>Magnesio y oxidantes fuertes (CuSO₄); oxidantes (dextrosa). Lugar seco.</w:t>
            </w:r>
          </w:p>
        </w:tc>
      </w:tr>
    </w:tbl>
    <w:p>
      <w:pPr>
        <w:keepNext/>
        <w:spacing w:before="200" w:after="80"/>
      </w:pPr>
      <w:r>
        <w:rPr>
          <w:rFonts w:ascii="Calibri" w:hAnsi="Calibri"/>
          <w:b/>
          <w:i w:val="0"/>
          <w:color w:val="1F3864"/>
          <w:sz w:val="24"/>
        </w:rPr>
        <w:t>6. Gestión de residuos</w:t>
      </w:r>
    </w:p>
    <w:tbl>
      <w:tblPr>
        <w:tblStyle w:val="Tablaconcuadrcula"/>
        <w:tblW w:type="auto" w:w="0"/>
        <w:jc w:val="center"/>
        <w:tblLayout w:type="fixed"/>
        <w:tblLook w:firstColumn="1" w:firstRow="1" w:lastColumn="0" w:lastRow="0" w:noHBand="0" w:noVBand="1" w:val="04A0"/>
        <w:tblLayout w:type="fixed"/>
      </w:tblPr>
      <w:tblGrid>
        <w:gridCol w:w="3685"/>
        <w:gridCol w:w="5896"/>
      </w:tblGrid>
      <w:tr>
        <w:trPr>
          <w:tblHeader w:val="true"/>
        </w:trPr>
        <w:tc>
          <w:tcPr>
            <w:tcW w:type="dxa" w:w="3685"/>
            <w:shd w:val="clear" w:color="auto" w:fill="E7E6E6"/>
          </w:tcPr>
          <w:p>
            <w:pPr>
              <w:spacing w:after="20" w:before="0"/>
              <w:jc w:val="center"/>
            </w:pPr>
            <w:r>
              <w:rPr>
                <w:rFonts w:ascii="Calibri" w:hAnsi="Calibri"/>
                <w:b/>
                <w:i w:val="0"/>
                <w:sz w:val="17"/>
              </w:rPr>
              <w:t>Tipo de residuo</w:t>
            </w:r>
          </w:p>
        </w:tc>
        <w:tc>
          <w:tcPr>
            <w:tcW w:type="dxa" w:w="5896"/>
            <w:shd w:val="clear" w:color="auto" w:fill="E7E6E6"/>
          </w:tcPr>
          <w:p>
            <w:pPr>
              <w:spacing w:after="20" w:before="0"/>
              <w:jc w:val="center"/>
            </w:pPr>
            <w:r>
              <w:rPr>
                <w:rFonts w:ascii="Calibri" w:hAnsi="Calibri"/>
                <w:b/>
                <w:i w:val="0"/>
                <w:sz w:val="17"/>
              </w:rPr>
              <w:t>Recipiente / destino</w:t>
            </w:r>
          </w:p>
        </w:tc>
      </w:tr>
      <w:tr>
        <w:tc>
          <w:tcPr>
            <w:tcW w:type="dxa" w:w="3685"/>
          </w:tcPr>
          <w:p>
            <w:pPr>
              <w:spacing w:after="20" w:before="0"/>
              <w:jc w:val="left"/>
            </w:pPr>
            <w:r>
              <w:rPr>
                <w:rFonts w:ascii="Calibri" w:hAnsi="Calibri"/>
                <w:b w:val="0"/>
                <w:i w:val="0"/>
                <w:sz w:val="17"/>
              </w:rPr>
              <w:t>Solventes sobrantes (acetona, metanol, IPA) y limpieza de aerógrafo</w:t>
            </w:r>
          </w:p>
        </w:tc>
        <w:tc>
          <w:tcPr>
            <w:tcW w:type="dxa" w:w="5896"/>
          </w:tcPr>
          <w:p>
            <w:pPr>
              <w:spacing w:after="20" w:before="0"/>
              <w:jc w:val="left"/>
            </w:pPr>
            <w:r>
              <w:rPr>
                <w:rFonts w:ascii="Calibri" w:hAnsi="Calibri"/>
                <w:b w:val="0"/>
                <w:i w:val="0"/>
                <w:sz w:val="17"/>
              </w:rPr>
              <w:t>Bidón «Residuos de solventes orgánicos no halogenados». No verter al desagüe.</w:t>
            </w:r>
          </w:p>
        </w:tc>
      </w:tr>
      <w:tr>
        <w:tc>
          <w:tcPr>
            <w:tcW w:type="dxa" w:w="3685"/>
          </w:tcPr>
          <w:p>
            <w:pPr>
              <w:spacing w:after="20" w:before="0"/>
              <w:jc w:val="left"/>
            </w:pPr>
            <w:r>
              <w:rPr>
                <w:rFonts w:ascii="Calibri" w:hAnsi="Calibri"/>
                <w:b w:val="0"/>
                <w:i w:val="0"/>
                <w:sz w:val="17"/>
              </w:rPr>
              <w:t>Paños, papeles y guantes con solventes o grafito</w:t>
            </w:r>
          </w:p>
        </w:tc>
        <w:tc>
          <w:tcPr>
            <w:tcW w:type="dxa" w:w="5896"/>
          </w:tcPr>
          <w:p>
            <w:pPr>
              <w:spacing w:after="20" w:before="0"/>
              <w:jc w:val="left"/>
            </w:pPr>
            <w:r>
              <w:rPr>
                <w:rFonts w:ascii="Calibri" w:hAnsi="Calibri"/>
                <w:b w:val="0"/>
                <w:i w:val="0"/>
                <w:sz w:val="17"/>
              </w:rPr>
              <w:t>Recipiente con tapa «Residuos sólidos contaminados».</w:t>
            </w:r>
          </w:p>
        </w:tc>
      </w:tr>
      <w:tr>
        <w:tc>
          <w:tcPr>
            <w:tcW w:type="dxa" w:w="3685"/>
          </w:tcPr>
          <w:p>
            <w:pPr>
              <w:spacing w:after="20" w:before="0"/>
              <w:jc w:val="left"/>
            </w:pPr>
            <w:r>
              <w:rPr>
                <w:rFonts w:ascii="Calibri" w:hAnsi="Calibri"/>
                <w:b w:val="0"/>
                <w:i w:val="0"/>
                <w:sz w:val="17"/>
              </w:rPr>
              <w:t>Baño de cobre agotado y enjuagues con cobre</w:t>
            </w:r>
          </w:p>
        </w:tc>
        <w:tc>
          <w:tcPr>
            <w:tcW w:type="dxa" w:w="5896"/>
          </w:tcPr>
          <w:p>
            <w:pPr>
              <w:spacing w:after="20" w:before="0"/>
              <w:jc w:val="left"/>
            </w:pPr>
            <w:r>
              <w:rPr>
                <w:rFonts w:ascii="Calibri" w:hAnsi="Calibri"/>
                <w:b w:val="0"/>
                <w:i w:val="0"/>
                <w:sz w:val="17"/>
              </w:rPr>
              <w:t>Bidón HDPE «Residuos acuosos ácidos con metales (Cu)». Nunca al desagüe.</w:t>
            </w:r>
          </w:p>
        </w:tc>
      </w:tr>
      <w:tr>
        <w:tc>
          <w:tcPr>
            <w:tcW w:type="dxa" w:w="3685"/>
          </w:tcPr>
          <w:p>
            <w:pPr>
              <w:spacing w:after="20" w:before="0"/>
              <w:jc w:val="left"/>
            </w:pPr>
            <w:r>
              <w:rPr>
                <w:rFonts w:ascii="Calibri" w:hAnsi="Calibri"/>
                <w:b w:val="0"/>
                <w:i w:val="0"/>
                <w:sz w:val="17"/>
              </w:rPr>
              <w:t>Residuos de nitrato de plata</w:t>
            </w:r>
          </w:p>
        </w:tc>
        <w:tc>
          <w:tcPr>
            <w:tcW w:type="dxa" w:w="5896"/>
          </w:tcPr>
          <w:p>
            <w:pPr>
              <w:spacing w:after="20" w:before="0"/>
              <w:jc w:val="left"/>
            </w:pPr>
            <w:r>
              <w:rPr>
                <w:rFonts w:ascii="Calibri" w:hAnsi="Calibri"/>
                <w:b w:val="0"/>
                <w:i w:val="0"/>
                <w:sz w:val="17"/>
              </w:rPr>
              <w:t>Recipiente separado «Residuos con plata – oxidante», protegido de la luz.</w:t>
            </w:r>
          </w:p>
        </w:tc>
      </w:tr>
      <w:tr>
        <w:tc>
          <w:tcPr>
            <w:tcW w:type="dxa" w:w="3685"/>
          </w:tcPr>
          <w:p>
            <w:pPr>
              <w:spacing w:after="20" w:before="0"/>
              <w:jc w:val="left"/>
            </w:pPr>
            <w:r>
              <w:rPr>
                <w:rFonts w:ascii="Calibri" w:hAnsi="Calibri"/>
                <w:b w:val="0"/>
                <w:i w:val="0"/>
                <w:sz w:val="17"/>
              </w:rPr>
              <w:t>Envases vacíos de reactivos</w:t>
            </w:r>
          </w:p>
        </w:tc>
        <w:tc>
          <w:tcPr>
            <w:tcW w:type="dxa" w:w="5896"/>
          </w:tcPr>
          <w:p>
            <w:pPr>
              <w:spacing w:after="20" w:before="0"/>
              <w:jc w:val="left"/>
            </w:pPr>
            <w:r>
              <w:rPr>
                <w:rFonts w:ascii="Calibri" w:hAnsi="Calibri"/>
                <w:b w:val="0"/>
                <w:i w:val="0"/>
                <w:sz w:val="17"/>
              </w:rPr>
              <w:t>Enjuagar (enjuague al residuo correspondiente), rotular «vacío» y gestionar con Laboratorio Seguro.</w:t>
            </w:r>
          </w:p>
        </w:tc>
      </w:tr>
    </w:tbl>
    <w:p>
      <w:pPr>
        <w:spacing w:before="40" w:after="60"/>
      </w:pPr>
      <w:r>
        <w:rPr>
          <w:rFonts w:ascii="Calibri" w:hAnsi="Calibri"/>
          <w:b w:val="0"/>
          <w:i/>
          <w:sz w:val="18"/>
        </w:rPr>
        <w:t>Todo bidón debe estar rotulado (contenido, peligros, fecha de inicio, responsable), cerrado y en contención secundaria. El retiro se solicita a Laboratorio Seguro / DPR para su disposición por empresa autorizada.</w:t>
      </w:r>
    </w:p>
    <w:p>
      <w:pPr>
        <w:keepNext/>
        <w:spacing w:before="200" w:after="80"/>
      </w:pPr>
      <w:r>
        <w:rPr>
          <w:rFonts w:ascii="Calibri" w:hAnsi="Calibri"/>
          <w:b/>
          <w:i w:val="0"/>
          <w:color w:val="1F3864"/>
          <w:sz w:val="24"/>
        </w:rPr>
        <w:t>7. Accidentes y situaciones de emergencia</w:t>
      </w:r>
    </w:p>
    <w:p>
      <w:pPr>
        <w:spacing w:before="0" w:after="80"/>
        <w:jc w:val="both"/>
      </w:pPr>
      <w:r>
        <w:rPr>
          <w:rFonts w:ascii="Calibri" w:hAnsi="Calibri"/>
          <w:b w:val="0"/>
          <w:i w:val="0"/>
          <w:sz w:val="20"/>
        </w:rPr>
        <w:t xml:space="preserve">En caso de cualquier accidente o situación peligrosa se debe dar aviso inmediato al anexo </w:t>
      </w:r>
      <w:r>
        <w:rPr>
          <w:rFonts w:ascii="Calibri" w:hAnsi="Calibri"/>
          <w:b/>
          <w:i w:val="0"/>
          <w:sz w:val="20"/>
        </w:rPr>
        <w:t>5000</w:t>
      </w:r>
      <w:r>
        <w:rPr>
          <w:rFonts w:ascii="Calibri" w:hAnsi="Calibri"/>
          <w:b w:val="0"/>
          <w:i w:val="0"/>
          <w:sz w:val="20"/>
        </w:rPr>
        <w:t xml:space="preserve"> (emergencias UC), a la académica responsable y a la lab manager, y seguir el Procedimiento en caso de derrame F-DPR 15 y la hoja de Números de Emergencia.</w:t>
      </w:r>
    </w:p>
    <w:p>
      <w:pPr>
        <w:keepNext/>
        <w:spacing w:before="0" w:after="40"/>
      </w:pPr>
      <w:r>
        <w:rPr>
          <w:rFonts w:ascii="Calibri" w:hAnsi="Calibri"/>
          <w:b/>
          <w:i w:val="0"/>
          <w:sz w:val="21"/>
        </w:rPr>
        <w:t>Contacto con piel u ojos</w:t>
      </w:r>
    </w:p>
    <w:p>
      <w:pPr>
        <w:spacing w:before="0" w:after="30"/>
        <w:ind w:left="369" w:hanging="255"/>
      </w:pPr>
      <w:r>
        <w:rPr>
          <w:rFonts w:ascii="Calibri" w:hAnsi="Calibri"/>
          <w:b w:val="0"/>
          <w:i w:val="0"/>
          <w:sz w:val="20"/>
        </w:rPr>
        <w:t>•</w:t>
        <w:tab/>
        <w:t>Retirar la ropa contaminada bajo la ducha de emergencia y lavar con abundante agua al menos 15 minutos (20 minutos para ácido sulfúrico). No aplicar neutralizantes, cremas ni ungüentos.</w:t>
      </w:r>
    </w:p>
    <w:p>
      <w:pPr>
        <w:spacing w:before="0" w:after="30"/>
        <w:ind w:left="369" w:hanging="255"/>
      </w:pPr>
      <w:r>
        <w:rPr>
          <w:rFonts w:ascii="Calibri" w:hAnsi="Calibri"/>
          <w:b w:val="0"/>
          <w:i w:val="0"/>
          <w:sz w:val="20"/>
        </w:rPr>
        <w:t>•</w:t>
        <w:tab/>
        <w:t>Ojos: lavaojos durante 15–20 minutos manteniendo los párpados abiertos. Buscar atención médica.</w:t>
      </w:r>
    </w:p>
    <w:p>
      <w:pPr>
        <w:keepNext/>
        <w:spacing w:before="100" w:after="40"/>
      </w:pPr>
      <w:r>
        <w:rPr>
          <w:rFonts w:ascii="Calibri" w:hAnsi="Calibri"/>
          <w:b/>
          <w:i w:val="0"/>
          <w:sz w:val="21"/>
        </w:rPr>
        <w:t>Inhalación</w:t>
      </w:r>
    </w:p>
    <w:p>
      <w:pPr>
        <w:spacing w:before="0" w:after="30"/>
        <w:ind w:left="369" w:hanging="255"/>
      </w:pPr>
      <w:r>
        <w:rPr>
          <w:rFonts w:ascii="Calibri" w:hAnsi="Calibri"/>
          <w:b w:val="0"/>
          <w:i w:val="0"/>
          <w:sz w:val="20"/>
        </w:rPr>
        <w:t>•</w:t>
        <w:tab/>
        <w:t>Trasladar a la persona al aire fresco y mantenerla en reposo. Si hay dificultad respiratoria, pedir atención médica (metanol: atención médica inmediata aunque no haya síntomas).</w:t>
      </w:r>
    </w:p>
    <w:p>
      <w:pPr>
        <w:keepNext/>
        <w:spacing w:before="100" w:after="40"/>
      </w:pPr>
      <w:r>
        <w:rPr>
          <w:rFonts w:ascii="Calibri" w:hAnsi="Calibri"/>
          <w:b/>
          <w:i w:val="0"/>
          <w:sz w:val="21"/>
        </w:rPr>
        <w:t>Ingestión</w:t>
      </w:r>
    </w:p>
    <w:p>
      <w:pPr>
        <w:spacing w:before="0" w:after="30"/>
        <w:ind w:left="369" w:hanging="255"/>
      </w:pPr>
      <w:r>
        <w:rPr>
          <w:rFonts w:ascii="Calibri" w:hAnsi="Calibri"/>
          <w:b w:val="0"/>
          <w:i w:val="0"/>
          <w:sz w:val="20"/>
        </w:rPr>
        <w:t>•</w:t>
        <w:tab/>
        <w:t xml:space="preserve">Enjuagar la boca. </w:t>
      </w:r>
      <w:r>
        <w:rPr>
          <w:rFonts w:ascii="Calibri" w:hAnsi="Calibri"/>
          <w:b/>
          <w:i w:val="0"/>
          <w:sz w:val="20"/>
        </w:rPr>
        <w:t>No inducir el vómito</w:t>
      </w:r>
      <w:r>
        <w:rPr>
          <w:rFonts w:ascii="Calibri" w:hAnsi="Calibri"/>
          <w:b w:val="0"/>
          <w:i w:val="0"/>
          <w:sz w:val="20"/>
        </w:rPr>
        <w:t xml:space="preserve"> con ácido sulfúrico, hidróxido de sodio ni nitrato de plata. Llamar al CITUC (2 2635 3800) y acudir a un centro de salud con la FDS.</w:t>
      </w:r>
    </w:p>
    <w:p>
      <w:pPr>
        <w:keepNext/>
        <w:spacing w:before="100" w:after="40"/>
      </w:pPr>
      <w:r>
        <w:rPr>
          <w:rFonts w:ascii="Calibri" w:hAnsi="Calibri"/>
          <w:b/>
          <w:i w:val="0"/>
          <w:sz w:val="21"/>
        </w:rPr>
        <w:t>Derrames</w:t>
      </w:r>
    </w:p>
    <w:p>
      <w:pPr>
        <w:spacing w:before="0" w:after="30"/>
        <w:ind w:left="369" w:hanging="255"/>
      </w:pPr>
      <w:r>
        <w:rPr>
          <w:rFonts w:ascii="Calibri" w:hAnsi="Calibri"/>
          <w:b w:val="0"/>
          <w:i w:val="0"/>
          <w:sz w:val="20"/>
        </w:rPr>
        <w:t>•</w:t>
        <w:tab/>
        <w:t>Avisar al anexo 5000, alejar a las personas, ventilar y eliminar fuentes de ignición. Usar el kit de derrames (mascarilla con filtro, guantes, gafas, pala y contenedor).</w:t>
      </w:r>
    </w:p>
    <w:p>
      <w:pPr>
        <w:spacing w:before="0" w:after="30"/>
        <w:ind w:left="369" w:hanging="255"/>
      </w:pPr>
      <w:r>
        <w:rPr>
          <w:rFonts w:ascii="Calibri" w:hAnsi="Calibri"/>
          <w:b w:val="0"/>
          <w:i w:val="0"/>
          <w:sz w:val="20"/>
        </w:rPr>
        <w:t>•</w:t>
        <w:tab/>
      </w:r>
      <w:r>
        <w:rPr>
          <w:rFonts w:ascii="Calibri" w:hAnsi="Calibri"/>
          <w:b/>
          <w:i w:val="0"/>
          <w:sz w:val="20"/>
        </w:rPr>
        <w:t>Ácido sulfúrico / baño de cobre:</w:t>
      </w:r>
      <w:r>
        <w:rPr>
          <w:rFonts w:ascii="Calibri" w:hAnsi="Calibri"/>
          <w:b w:val="0"/>
          <w:i w:val="0"/>
          <w:sz w:val="20"/>
        </w:rPr>
        <w:t xml:space="preserve"> contener con absorbente y neutralizar con carbonato o bicarbonato de sodio (o arena); recoger en contenedor rotulado.</w:t>
      </w:r>
    </w:p>
    <w:p>
      <w:pPr>
        <w:spacing w:before="0" w:after="30"/>
        <w:ind w:left="369" w:hanging="255"/>
      </w:pPr>
      <w:r>
        <w:rPr>
          <w:rFonts w:ascii="Calibri" w:hAnsi="Calibri"/>
          <w:b w:val="0"/>
          <w:i w:val="0"/>
          <w:sz w:val="20"/>
        </w:rPr>
        <w:t>•</w:t>
        <w:tab/>
      </w:r>
      <w:r>
        <w:rPr>
          <w:rFonts w:ascii="Calibri" w:hAnsi="Calibri"/>
          <w:b/>
          <w:i w:val="0"/>
          <w:sz w:val="20"/>
        </w:rPr>
        <w:t>Hidróxido de sodio:</w:t>
      </w:r>
      <w:r>
        <w:rPr>
          <w:rFonts w:ascii="Calibri" w:hAnsi="Calibri"/>
          <w:b w:val="0"/>
          <w:i w:val="0"/>
          <w:sz w:val="20"/>
        </w:rPr>
        <w:t xml:space="preserve"> contener con absorbente inerte; recoger y rotular.</w:t>
      </w:r>
    </w:p>
    <w:p>
      <w:pPr>
        <w:spacing w:before="0" w:after="30"/>
        <w:ind w:left="369" w:hanging="255"/>
      </w:pPr>
      <w:r>
        <w:rPr>
          <w:rFonts w:ascii="Calibri" w:hAnsi="Calibri"/>
          <w:b w:val="0"/>
          <w:i w:val="0"/>
          <w:sz w:val="20"/>
        </w:rPr>
        <w:t>•</w:t>
        <w:tab/>
      </w:r>
      <w:r>
        <w:rPr>
          <w:rFonts w:ascii="Calibri" w:hAnsi="Calibri"/>
          <w:b/>
          <w:i w:val="0"/>
          <w:sz w:val="20"/>
        </w:rPr>
        <w:t>Solventes:</w:t>
      </w:r>
      <w:r>
        <w:rPr>
          <w:rFonts w:ascii="Calibri" w:hAnsi="Calibri"/>
          <w:b w:val="0"/>
          <w:i w:val="0"/>
          <w:sz w:val="20"/>
        </w:rPr>
        <w:t xml:space="preserve"> absorber con material inerte, sin fuentes de ignición; residuos en contenedor cerrado.</w:t>
      </w:r>
    </w:p>
    <w:p>
      <w:pPr>
        <w:spacing w:before="0" w:after="30"/>
        <w:ind w:left="369" w:hanging="255"/>
      </w:pPr>
      <w:r>
        <w:rPr>
          <w:rFonts w:ascii="Calibri" w:hAnsi="Calibri"/>
          <w:b w:val="0"/>
          <w:i w:val="0"/>
          <w:sz w:val="20"/>
        </w:rPr>
        <w:t>•</w:t>
        <w:tab/>
      </w:r>
      <w:r>
        <w:rPr>
          <w:rFonts w:ascii="Calibri" w:hAnsi="Calibri"/>
          <w:b/>
          <w:i w:val="0"/>
          <w:sz w:val="20"/>
        </w:rPr>
        <w:t>Sólidos (CuSO₄, AgNO₃):</w:t>
      </w:r>
      <w:r>
        <w:rPr>
          <w:rFonts w:ascii="Calibri" w:hAnsi="Calibri"/>
          <w:b w:val="0"/>
          <w:i w:val="0"/>
          <w:sz w:val="20"/>
        </w:rPr>
        <w:t xml:space="preserve"> recoger sin levantar polvo; mantener el nitrato de plata lejos de papel u orgánicos.</w:t>
      </w:r>
    </w:p>
    <w:p>
      <w:pPr>
        <w:spacing w:before="0" w:after="30"/>
        <w:ind w:left="369" w:hanging="255"/>
      </w:pPr>
      <w:r>
        <w:rPr>
          <w:rFonts w:ascii="Calibri" w:hAnsi="Calibri"/>
          <w:b w:val="0"/>
          <w:i w:val="0"/>
          <w:sz w:val="20"/>
        </w:rPr>
        <w:t>•</w:t>
        <w:tab/>
        <w:t>Residuos del derrame: triple encapsulamiento (bolsa sellada y rotulada, dentro de segunda bolsa, dentro de contenedor PVC).</w:t>
      </w:r>
    </w:p>
    <w:p>
      <w:pPr>
        <w:keepNext/>
        <w:spacing w:before="100" w:after="40"/>
      </w:pPr>
      <w:r>
        <w:rPr>
          <w:rFonts w:ascii="Calibri" w:hAnsi="Calibri"/>
          <w:b/>
          <w:i w:val="0"/>
          <w:sz w:val="21"/>
        </w:rPr>
        <w:t>Incendio</w:t>
      </w:r>
    </w:p>
    <w:p>
      <w:pPr>
        <w:spacing w:before="0" w:after="30"/>
        <w:ind w:left="369" w:hanging="255"/>
      </w:pPr>
      <w:r>
        <w:rPr>
          <w:rFonts w:ascii="Calibri" w:hAnsi="Calibri"/>
          <w:b w:val="0"/>
          <w:i w:val="0"/>
          <w:sz w:val="20"/>
        </w:rPr>
        <w:t>•</w:t>
        <w:tab/>
        <w:t>Solventes: extintor de polvo químico seco o CO₂. No usar chorro de agua directo sobre el ácido sulfúrico. Si el fuego no es controlable, evacuar y llamar al 5000.</w:t>
      </w:r>
    </w:p>
    <w:p>
      <w:pPr>
        <w:keepNext/>
        <w:spacing w:before="200" w:after="80"/>
      </w:pPr>
      <w:r>
        <w:rPr>
          <w:rFonts w:ascii="Calibri" w:hAnsi="Calibri"/>
          <w:b/>
          <w:i w:val="0"/>
          <w:color w:val="1F3864"/>
          <w:sz w:val="24"/>
        </w:rPr>
        <w:t>8. Documentos relacionados</w:t>
      </w:r>
    </w:p>
    <w:p>
      <w:pPr>
        <w:spacing w:before="0" w:after="30"/>
        <w:ind w:left="369" w:hanging="255"/>
      </w:pPr>
      <w:r>
        <w:rPr>
          <w:rFonts w:ascii="Calibri" w:hAnsi="Calibri"/>
          <w:b w:val="0"/>
          <w:i w:val="0"/>
          <w:sz w:val="20"/>
        </w:rPr>
        <w:t>•</w:t>
        <w:tab/>
        <w:t>Números de Emergencia AIUC.</w:t>
      </w:r>
    </w:p>
    <w:p>
      <w:pPr>
        <w:spacing w:before="0" w:after="30"/>
        <w:ind w:left="369" w:hanging="255"/>
      </w:pPr>
      <w:r>
        <w:rPr>
          <w:rFonts w:ascii="Calibri" w:hAnsi="Calibri"/>
          <w:b w:val="0"/>
          <w:i w:val="0"/>
          <w:sz w:val="20"/>
        </w:rPr>
        <w:t>•</w:t>
        <w:tab/>
        <w:t>PTS-01 Preparación de superficie y limpieza con solventes.</w:t>
      </w:r>
    </w:p>
    <w:p>
      <w:pPr>
        <w:spacing w:before="0" w:after="30"/>
        <w:ind w:left="369" w:hanging="255"/>
      </w:pPr>
      <w:r>
        <w:rPr>
          <w:rFonts w:ascii="Calibri" w:hAnsi="Calibri"/>
          <w:b w:val="0"/>
          <w:i w:val="0"/>
          <w:sz w:val="20"/>
        </w:rPr>
        <w:t>•</w:t>
        <w:tab/>
        <w:t>PTS-02 Aplicación de pintura conductiva de grafito.</w:t>
      </w:r>
    </w:p>
    <w:p>
      <w:pPr>
        <w:spacing w:before="0" w:after="30"/>
        <w:ind w:left="369" w:hanging="255"/>
      </w:pPr>
      <w:r>
        <w:rPr>
          <w:rFonts w:ascii="Calibri" w:hAnsi="Calibri"/>
          <w:b w:val="0"/>
          <w:i w:val="0"/>
          <w:sz w:val="20"/>
        </w:rPr>
        <w:t>•</w:t>
        <w:tab/>
        <w:t>PTS-03 Preparación de solución electrolítica de cobre ácido.</w:t>
      </w:r>
    </w:p>
    <w:p>
      <w:pPr>
        <w:spacing w:before="0" w:after="30"/>
        <w:ind w:left="369" w:hanging="255"/>
      </w:pPr>
      <w:r>
        <w:rPr>
          <w:rFonts w:ascii="Calibri" w:hAnsi="Calibri"/>
          <w:b w:val="0"/>
          <w:i w:val="0"/>
          <w:sz w:val="20"/>
        </w:rPr>
        <w:t>•</w:t>
        <w:tab/>
        <w:t>PTS-04 Electrodeposición de cobre.</w:t>
      </w:r>
    </w:p>
    <w:p>
      <w:pPr>
        <w:spacing w:before="0" w:after="30"/>
        <w:ind w:left="369" w:hanging="255"/>
      </w:pPr>
      <w:r>
        <w:rPr>
          <w:rFonts w:ascii="Calibri" w:hAnsi="Calibri"/>
          <w:b w:val="0"/>
          <w:i w:val="0"/>
          <w:sz w:val="20"/>
        </w:rPr>
        <w:t>•</w:t>
        <w:tab/>
        <w:t>Fichas resumen de seguridad de reactivos.</w:t>
      </w:r>
    </w:p>
    <w:p>
      <w:pPr>
        <w:spacing w:before="0" w:after="30"/>
        <w:ind w:left="369" w:hanging="255"/>
      </w:pPr>
      <w:r>
        <w:rPr>
          <w:rFonts w:ascii="Calibri" w:hAnsi="Calibri"/>
          <w:b w:val="0"/>
          <w:i w:val="0"/>
          <w:sz w:val="20"/>
        </w:rPr>
        <w:t>•</w:t>
        <w:tab/>
        <w:t>Procedimiento en caso de derrame de productos químicos de laboratorios (F-DPR 15).</w:t>
      </w:r>
    </w:p>
    <w:p>
      <w:pPr>
        <w:spacing w:before="0" w:after="30"/>
        <w:ind w:left="369" w:hanging="255"/>
      </w:pPr>
      <w:r>
        <w:rPr>
          <w:rFonts w:ascii="Calibri" w:hAnsi="Calibri"/>
          <w:b w:val="0"/>
          <w:i w:val="0"/>
          <w:sz w:val="20"/>
        </w:rPr>
        <w:t>•</w:t>
        <w:tab/>
        <w:t>Inventario de reactivos químicos AIUC 2026 y Matriz guía de almacenamiento químico mixto.</w:t>
      </w:r>
    </w:p>
    <w:p>
      <w:pPr>
        <w:spacing w:before="0" w:after="120"/>
      </w:pPr>
    </w:p>
    <w:tbl>
      <w:tblPr>
        <w:tblStyle w:val="Tablaconcuadrcula"/>
        <w:tblW w:type="auto" w:w="0"/>
        <w:jc w:val="center"/>
        <w:tblLayout w:type="fixed"/>
        <w:tblLook w:firstColumn="1" w:firstRow="1" w:lastColumn="0" w:lastRow="0" w:noHBand="0" w:noVBand="1" w:val="04A0"/>
        <w:tblLayout w:type="fixed"/>
      </w:tblPr>
      <w:tblGrid>
        <w:gridCol w:w="4791"/>
        <w:gridCol w:w="4791"/>
      </w:tblGrid>
      <w:tr>
        <w:tc>
          <w:tcPr>
            <w:tcW w:type="dxa" w:w="4791"/>
          </w:tcPr>
          <w:p>
            <w:pPr>
              <w:spacing w:after="20" w:before="0"/>
              <w:jc w:val="left"/>
            </w:pPr>
            <w:r>
              <w:rPr>
                <w:rFonts w:ascii="Calibri" w:hAnsi="Calibri"/>
                <w:b w:val="0"/>
                <w:i w:val="0"/>
                <w:sz w:val="20"/>
              </w:rPr>
              <w:t>Elaborado por: Nicolás Seguel Ardiles</w:t>
            </w:r>
          </w:p>
        </w:tc>
        <w:tc>
          <w:tcPr>
            <w:tcW w:type="dxa" w:w="4791"/>
          </w:tcPr>
          <w:p>
            <w:pPr>
              <w:spacing w:after="20" w:before="0"/>
              <w:jc w:val="left"/>
            </w:pPr>
            <w:r>
              <w:rPr>
                <w:rFonts w:ascii="Calibri" w:hAnsi="Calibri"/>
                <w:b w:val="0"/>
                <w:i w:val="0"/>
                <w:sz w:val="20"/>
              </w:rPr>
              <w:t>Revisado por:</w:t>
            </w:r>
          </w:p>
        </w:tc>
      </w:tr>
      <w:tr>
        <w:tc>
          <w:tcPr>
            <w:tcW w:type="dxa" w:w="4791"/>
          </w:tcPr>
          <w:p>
            <w:pPr>
              <w:spacing w:after="20" w:before="0"/>
              <w:jc w:val="left"/>
            </w:pPr>
            <w:r>
              <w:rPr>
                <w:rFonts w:ascii="Calibri" w:hAnsi="Calibri"/>
                <w:b w:val="0"/>
                <w:i w:val="0"/>
                <w:sz w:val="20"/>
              </w:rPr>
              <w:t>Fecha: 30/09/2026</w:t>
            </w:r>
          </w:p>
        </w:tc>
        <w:tc>
          <w:tcPr>
            <w:tcW w:type="dxa" w:w="4791"/>
          </w:tcPr>
          <w:p>
            <w:pPr>
              <w:spacing w:after="20" w:before="0"/>
              <w:jc w:val="left"/>
            </w:pPr>
            <w:r>
              <w:rPr>
                <w:rFonts w:ascii="Calibri" w:hAnsi="Calibri"/>
                <w:b w:val="0"/>
                <w:i w:val="0"/>
                <w:sz w:val="20"/>
              </w:rPr>
              <w:t>Fecha:</w:t>
            </w:r>
          </w:p>
        </w:tc>
      </w:tr>
      <w:tr>
        <w:tc>
          <w:tcPr>
            <w:tcW w:type="dxa" w:w="4791"/>
          </w:tcPr>
          <w:p>
            <w:pPr>
              <w:spacing w:after="20" w:before="0"/>
              <w:jc w:val="left"/>
            </w:pPr>
            <w:r>
              <w:rPr>
                <w:rFonts w:ascii="Calibri" w:hAnsi="Calibri"/>
                <w:b w:val="0"/>
                <w:i w:val="0"/>
                <w:sz w:val="20"/>
              </w:rPr>
              <w:t>Firma</w:t>
            </w:r>
          </w:p>
          <w:p>
            <w:pPr>
              <w:spacing w:after="20" w:before="0"/>
              <w:jc w:val="left"/>
            </w:pPr>
          </w:p>
          <w:p>
            <w:pPr>
              <w:spacing w:after="20" w:before="0"/>
              <w:jc w:val="left"/>
            </w:pPr>
          </w:p>
        </w:tc>
        <w:tc>
          <w:tcPr>
            <w:tcW w:type="dxa" w:w="4791"/>
          </w:tcPr>
          <w:p>
            <w:pPr>
              <w:spacing w:after="20" w:before="0"/>
              <w:jc w:val="left"/>
            </w:pPr>
            <w:r>
              <w:rPr>
                <w:rFonts w:ascii="Calibri" w:hAnsi="Calibri"/>
                <w:b w:val="0"/>
                <w:i w:val="0"/>
                <w:sz w:val="20"/>
              </w:rPr>
              <w:t>Firma</w:t>
            </w:r>
          </w:p>
        </w:tc>
      </w:tr>
    </w:tbl>
    <w:sectPr w:rsidR="00172A0F" w:rsidRPr="00E00575" w:rsidSect="003A17A4">
      <w:headerReference w:type="default" r:id="rId8"/>
      <w:pgSz w:w="12240" w:h="15840"/>
      <w:pgMar w:top="1548" w:right="720" w:bottom="720" w:left="720"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F0665" w14:textId="77777777" w:rsidR="009E7288" w:rsidRDefault="009E7288">
      <w:r>
        <w:separator/>
      </w:r>
    </w:p>
  </w:endnote>
  <w:endnote w:type="continuationSeparator" w:id="0">
    <w:p w14:paraId="6D6764C3" w14:textId="77777777" w:rsidR="009E7288" w:rsidRDefault="009E7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A261E" w14:textId="77777777" w:rsidR="009E7288" w:rsidRDefault="009E7288">
      <w:r>
        <w:separator/>
      </w:r>
    </w:p>
  </w:footnote>
  <w:footnote w:type="continuationSeparator" w:id="0">
    <w:p w14:paraId="46BAAEDB" w14:textId="77777777" w:rsidR="009E7288" w:rsidRDefault="009E7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6658E" w14:textId="1476B338" w:rsidR="00CD0188" w:rsidRDefault="00CD0188" w:rsidP="00CD0188"/>
  <w:p w14:paraId="73742571" w14:textId="408B5ECF" w:rsidR="00CD0188" w:rsidRPr="00CD0188" w:rsidRDefault="00CD0188" w:rsidP="00CD0188"/>
  <w:tbl>
    <w:tblPr>
      <w:tblStyle w:val="Tablaconcuadrcula"/>
      <w:tblpPr w:leftFromText="141" w:rightFromText="141" w:horzAnchor="margin" w:tblpXSpec="center" w:tblpY="-600"/>
      <w:tblW w:w="10145" w:type="dxa"/>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uble" w:sz="4" w:space="0" w:color="808080" w:themeColor="background1" w:themeShade="80"/>
        <w:insideV w:val="double" w:sz="4" w:space="0" w:color="808080" w:themeColor="background1" w:themeShade="80"/>
      </w:tblBorders>
      <w:tblLook w:val="04A0" w:firstRow="1" w:lastRow="0" w:firstColumn="1" w:lastColumn="0" w:noHBand="0" w:noVBand="1"/>
    </w:tblPr>
    <w:tblGrid>
      <w:gridCol w:w="3552"/>
      <w:gridCol w:w="4513"/>
      <w:gridCol w:w="2080"/>
    </w:tblGrid>
    <w:tr w:rsidR="003A17A4" w:rsidRPr="00693EC4" w14:paraId="675D7CA4" w14:textId="77777777" w:rsidTr="00BA2F26">
      <w:trPr>
        <w:trHeight w:val="762"/>
      </w:trPr>
      <w:tc>
        <w:tcPr>
          <w:tcW w:w="3552" w:type="dxa"/>
        </w:tcPr>
        <w:p w14:paraId="68AA2104" w14:textId="77777777" w:rsidR="003A17A4" w:rsidRPr="00693EC4" w:rsidRDefault="003A17A4" w:rsidP="003A17A4">
          <w:pPr>
            <w:spacing w:after="60" w:line="276" w:lineRule="auto"/>
            <w:ind w:right="418"/>
            <w:jc w:val="center"/>
            <w:rPr>
              <w:rFonts w:ascii="Calibri" w:eastAsia="Yu Gothic UI" w:hAnsi="Calibri" w:cs="Arial"/>
              <w:b/>
              <w:color w:val="2F5496" w:themeColor="accent1" w:themeShade="BF"/>
              <w:sz w:val="28"/>
            </w:rPr>
          </w:pPr>
          <w:r w:rsidRPr="00693EC4">
            <w:rPr>
              <w:noProof/>
              <w:lang w:val="es-ES_tradnl" w:eastAsia="es-ES_tradnl"/>
            </w:rPr>
            <w:drawing>
              <wp:anchor distT="0" distB="0" distL="114300" distR="114300" simplePos="0" relativeHeight="251660288" behindDoc="0" locked="0" layoutInCell="1" allowOverlap="1" wp14:anchorId="08839931" wp14:editId="3B9898B6">
                <wp:simplePos x="0" y="0"/>
                <wp:positionH relativeFrom="column">
                  <wp:posOffset>958215</wp:posOffset>
                </wp:positionH>
                <wp:positionV relativeFrom="page">
                  <wp:posOffset>128891</wp:posOffset>
                </wp:positionV>
                <wp:extent cx="1188720" cy="416560"/>
                <wp:effectExtent l="0" t="0" r="5080" b="2540"/>
                <wp:wrapSquare wrapText="bothSides"/>
                <wp:docPr id="3" name="Imagen 3" descr="Banner 800x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 800x200"/>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9314" r="1834"/>
                        <a:stretch/>
                      </pic:blipFill>
                      <pic:spPr bwMode="auto">
                        <a:xfrm>
                          <a:off x="0" y="0"/>
                          <a:ext cx="1188720" cy="416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3EC4">
            <w:rPr>
              <w:noProof/>
              <w:lang w:val="es-ES_tradnl" w:eastAsia="es-ES_tradnl"/>
            </w:rPr>
            <w:drawing>
              <wp:anchor distT="0" distB="0" distL="114300" distR="114300" simplePos="0" relativeHeight="251659264" behindDoc="1" locked="0" layoutInCell="1" allowOverlap="1" wp14:anchorId="68274286" wp14:editId="453008AA">
                <wp:simplePos x="0" y="0"/>
                <wp:positionH relativeFrom="column">
                  <wp:posOffset>-21591</wp:posOffset>
                </wp:positionH>
                <wp:positionV relativeFrom="page">
                  <wp:posOffset>32580</wp:posOffset>
                </wp:positionV>
                <wp:extent cx="981075" cy="553525"/>
                <wp:effectExtent l="0" t="0" r="0" b="0"/>
                <wp:wrapNone/>
                <wp:docPr id="4" name="Imagen 4" descr="UC lineal-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UC lineal-02.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3525" t="4688" b="6185"/>
                        <a:stretch/>
                      </pic:blipFill>
                      <pic:spPr bwMode="auto">
                        <a:xfrm>
                          <a:off x="0" y="0"/>
                          <a:ext cx="983418" cy="5548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513" w:type="dxa"/>
          <w:vAlign w:val="center"/>
        </w:tcPr>
        <w:p w14:paraId="61C195AE" w14:textId="65C89A81" w:rsidR="003A17A4" w:rsidRPr="00556385" w:rsidRDefault="003A17A4" w:rsidP="003A17A4">
          <w:pPr>
            <w:spacing w:after="60" w:line="276" w:lineRule="auto"/>
            <w:ind w:right="418"/>
            <w:jc w:val="center"/>
            <w:rPr>
              <w:rFonts w:ascii="Calibri" w:eastAsia="Yu Gothic UI" w:hAnsi="Calibri" w:cs="Arial"/>
              <w:b/>
              <w:color w:val="2F5496" w:themeColor="accent1" w:themeShade="BF"/>
              <w:sz w:val="28"/>
              <w:szCs w:val="28"/>
            </w:rPr>
          </w:pPr>
          <w:r>
            <w:rPr>
              <w:rFonts w:ascii="Calibri" w:eastAsia="Yu Gothic UI" w:hAnsi="Calibri" w:cs="Arial"/>
              <w:b/>
              <w:color w:val="2F5496" w:themeColor="accent1" w:themeShade="BF"/>
              <w:sz w:val="28"/>
              <w:szCs w:val="28"/>
            </w:rPr>
            <w:t>PROTOCOLO DE MANEJO DE QUÍMICOS</w:t>
          </w:r>
        </w:p>
      </w:tc>
      <w:tc>
        <w:tcPr>
          <w:tcW w:w="2080" w:type="dxa"/>
          <w:vAlign w:val="center"/>
        </w:tcPr>
        <w:p w14:paraId="5A981E62" w14:textId="77777777" w:rsidR="003A17A4" w:rsidRPr="00693EC4" w:rsidRDefault="003A17A4" w:rsidP="003A17A4">
          <w:pPr>
            <w:rPr>
              <w:rFonts w:ascii="Calibri" w:eastAsia="Yu Gothic UI" w:hAnsi="Calibri" w:cs="Arial"/>
              <w:color w:val="8496B0"/>
              <w:sz w:val="16"/>
              <w:szCs w:val="16"/>
            </w:rPr>
          </w:pPr>
          <w:r w:rsidRPr="00693EC4">
            <w:rPr>
              <w:rFonts w:ascii="Calibri" w:eastAsia="Yu Gothic UI" w:hAnsi="Calibri" w:cs="Arial"/>
              <w:color w:val="8496B0"/>
              <w:sz w:val="16"/>
              <w:szCs w:val="16"/>
            </w:rPr>
            <w:t xml:space="preserve">Versión: </w:t>
          </w:r>
          <w:r>
            <w:rPr>
              <w:rFonts w:ascii="Calibri" w:eastAsia="Yu Gothic UI" w:hAnsi="Calibri" w:cs="Arial"/>
              <w:color w:val="8496B0"/>
              <w:sz w:val="16"/>
              <w:szCs w:val="16"/>
            </w:rPr>
            <w:t>1</w:t>
          </w:r>
        </w:p>
        <w:p w14:paraId="18D27E34" w14:textId="77777777" w:rsidR="003A17A4" w:rsidRPr="00693EC4" w:rsidRDefault="003A17A4" w:rsidP="003A17A4">
          <w:pPr>
            <w:rPr>
              <w:rFonts w:ascii="Calibri" w:eastAsia="Yu Gothic UI" w:hAnsi="Calibri" w:cs="Arial"/>
              <w:color w:val="8496B0"/>
              <w:sz w:val="16"/>
              <w:szCs w:val="16"/>
            </w:rPr>
          </w:pPr>
          <w:r w:rsidRPr="00693EC4">
            <w:rPr>
              <w:rFonts w:ascii="Calibri" w:eastAsia="Yu Gothic UI" w:hAnsi="Calibri" w:cs="Arial"/>
              <w:color w:val="8496B0"/>
              <w:sz w:val="16"/>
              <w:szCs w:val="16"/>
            </w:rPr>
            <w:t xml:space="preserve">Fecha: </w:t>
          </w:r>
          <w:r>
            <w:rPr>
              <w:rFonts w:ascii="Calibri" w:eastAsia="Yu Gothic UI" w:hAnsi="Calibri" w:cs="Arial"/>
              <w:color w:val="8496B0"/>
              <w:sz w:val="16"/>
              <w:szCs w:val="16"/>
            </w:rPr>
            <w:t>30/09/2026</w:t>
          </w:r>
        </w:p>
        <w:p w14:paraId="5E405A3E" w14:textId="77777777" w:rsidR="003A17A4" w:rsidRDefault="003A17A4" w:rsidP="003A17A4">
          <w:pPr>
            <w:rPr>
              <w:rFonts w:ascii="Calibri" w:eastAsia="Yu Gothic UI" w:hAnsi="Calibri" w:cs="Arial"/>
              <w:color w:val="8496B0"/>
              <w:sz w:val="16"/>
              <w:szCs w:val="16"/>
            </w:rPr>
          </w:pPr>
          <w:r w:rsidRPr="00693EC4">
            <w:rPr>
              <w:rFonts w:ascii="Calibri" w:eastAsia="Yu Gothic UI" w:hAnsi="Calibri" w:cs="Arial"/>
              <w:color w:val="8496B0"/>
              <w:sz w:val="16"/>
              <w:szCs w:val="16"/>
            </w:rPr>
            <w:t>Elaborado: Nicolás Seguel A.</w:t>
          </w:r>
        </w:p>
        <w:p w14:paraId="65D2F60E" w14:textId="77777777" w:rsidR="003A17A4" w:rsidRDefault="003A17A4" w:rsidP="003A17A4">
          <w:pPr>
            <w:rPr>
              <w:rFonts w:ascii="Calibri" w:eastAsia="Yu Gothic UI" w:hAnsi="Calibri" w:cs="Arial"/>
              <w:color w:val="8496B0"/>
              <w:sz w:val="16"/>
              <w:szCs w:val="16"/>
            </w:rPr>
          </w:pPr>
          <w:r>
            <w:rPr>
              <w:rFonts w:ascii="Calibri" w:eastAsia="Yu Gothic UI" w:hAnsi="Calibri" w:cs="Arial"/>
              <w:color w:val="8496B0"/>
              <w:sz w:val="16"/>
              <w:szCs w:val="16"/>
            </w:rPr>
            <w:t xml:space="preserve">Revisado: </w:t>
          </w:r>
        </w:p>
        <w:p w14:paraId="693668C0" w14:textId="77777777" w:rsidR="003A17A4" w:rsidRPr="00693EC4" w:rsidRDefault="003A17A4" w:rsidP="003A17A4">
          <w:pPr>
            <w:rPr>
              <w:rFonts w:ascii="Calibri" w:eastAsia="Yu Gothic UI" w:hAnsi="Calibri" w:cs="Arial"/>
              <w:color w:val="8496B0"/>
              <w:sz w:val="16"/>
              <w:szCs w:val="16"/>
            </w:rPr>
          </w:pPr>
          <w:r w:rsidRPr="00FA44B9">
            <w:rPr>
              <w:rFonts w:ascii="Calibri" w:eastAsia="Yu Gothic UI" w:hAnsi="Calibri" w:cs="Arial"/>
              <w:color w:val="8496B0"/>
              <w:sz w:val="16"/>
              <w:szCs w:val="16"/>
            </w:rPr>
            <w:t xml:space="preserve">Página </w:t>
          </w:r>
          <w:r w:rsidRPr="00FA44B9">
            <w:rPr>
              <w:rFonts w:ascii="Calibri" w:eastAsia="Yu Gothic UI" w:hAnsi="Calibri" w:cs="Arial"/>
              <w:color w:val="8496B0"/>
              <w:sz w:val="16"/>
              <w:szCs w:val="16"/>
            </w:rPr>
            <w:fldChar w:fldCharType="begin"/>
          </w:r>
          <w:r w:rsidRPr="00FA44B9">
            <w:rPr>
              <w:rFonts w:ascii="Calibri" w:eastAsia="Yu Gothic UI" w:hAnsi="Calibri" w:cs="Arial"/>
              <w:color w:val="8496B0"/>
              <w:sz w:val="16"/>
              <w:szCs w:val="16"/>
            </w:rPr>
            <w:instrText xml:space="preserve"> PAGE </w:instrText>
          </w:r>
          <w:r w:rsidRPr="00FA44B9">
            <w:rPr>
              <w:rFonts w:ascii="Calibri" w:eastAsia="Yu Gothic UI" w:hAnsi="Calibri" w:cs="Arial"/>
              <w:color w:val="8496B0"/>
              <w:sz w:val="16"/>
              <w:szCs w:val="16"/>
            </w:rPr>
            <w:fldChar w:fldCharType="separate"/>
          </w:r>
          <w:r w:rsidRPr="00FA44B9">
            <w:rPr>
              <w:rFonts w:ascii="Calibri" w:eastAsia="Yu Gothic UI" w:hAnsi="Calibri" w:cs="Arial"/>
              <w:color w:val="8496B0"/>
              <w:sz w:val="16"/>
              <w:szCs w:val="16"/>
            </w:rPr>
            <w:t>1</w:t>
          </w:r>
          <w:r w:rsidRPr="00FA44B9">
            <w:rPr>
              <w:rFonts w:ascii="Calibri" w:eastAsia="Yu Gothic UI" w:hAnsi="Calibri" w:cs="Arial"/>
              <w:color w:val="8496B0"/>
              <w:sz w:val="16"/>
              <w:szCs w:val="16"/>
            </w:rPr>
            <w:fldChar w:fldCharType="end"/>
          </w:r>
          <w:r w:rsidRPr="00FA44B9">
            <w:rPr>
              <w:rFonts w:ascii="Calibri" w:eastAsia="Yu Gothic UI" w:hAnsi="Calibri" w:cs="Arial"/>
              <w:color w:val="8496B0"/>
              <w:sz w:val="16"/>
              <w:szCs w:val="16"/>
            </w:rPr>
            <w:t xml:space="preserve"> de </w:t>
          </w:r>
          <w:r w:rsidRPr="00FA44B9">
            <w:rPr>
              <w:rFonts w:ascii="Calibri" w:eastAsia="Yu Gothic UI" w:hAnsi="Calibri" w:cs="Arial"/>
              <w:color w:val="8496B0"/>
              <w:sz w:val="16"/>
              <w:szCs w:val="16"/>
            </w:rPr>
            <w:fldChar w:fldCharType="begin"/>
          </w:r>
          <w:r w:rsidRPr="00FA44B9">
            <w:rPr>
              <w:rFonts w:ascii="Calibri" w:eastAsia="Yu Gothic UI" w:hAnsi="Calibri" w:cs="Arial"/>
              <w:color w:val="8496B0"/>
              <w:sz w:val="16"/>
              <w:szCs w:val="16"/>
            </w:rPr>
            <w:instrText xml:space="preserve"> NUMPAGES </w:instrText>
          </w:r>
          <w:r w:rsidRPr="00FA44B9">
            <w:rPr>
              <w:rFonts w:ascii="Calibri" w:eastAsia="Yu Gothic UI" w:hAnsi="Calibri" w:cs="Arial"/>
              <w:color w:val="8496B0"/>
              <w:sz w:val="16"/>
              <w:szCs w:val="16"/>
            </w:rPr>
            <w:fldChar w:fldCharType="separate"/>
          </w:r>
          <w:r w:rsidRPr="00FA44B9">
            <w:rPr>
              <w:rFonts w:ascii="Calibri" w:eastAsia="Yu Gothic UI" w:hAnsi="Calibri" w:cs="Arial"/>
              <w:color w:val="8496B0"/>
              <w:sz w:val="16"/>
              <w:szCs w:val="16"/>
            </w:rPr>
            <w:t>1</w:t>
          </w:r>
          <w:r w:rsidRPr="00FA44B9">
            <w:rPr>
              <w:rFonts w:ascii="Calibri" w:eastAsia="Yu Gothic UI" w:hAnsi="Calibri" w:cs="Arial"/>
              <w:color w:val="8496B0"/>
              <w:sz w:val="16"/>
              <w:szCs w:val="16"/>
            </w:rPr>
            <w:fldChar w:fldCharType="end"/>
          </w:r>
        </w:p>
      </w:tc>
    </w:tr>
  </w:tbl>
  <w:p w14:paraId="28C27697" w14:textId="7C0F9F0D" w:rsidR="001C7666" w:rsidRPr="001C7666" w:rsidRDefault="001C7666" w:rsidP="003A17A4">
    <w:pPr>
      <w:spacing w:after="60" w:line="276" w:lineRule="auto"/>
      <w:ind w:right="418"/>
      <w:rPr>
        <w:rFonts w:ascii="Calibri" w:eastAsia="Yu Gothic UI" w:hAnsi="Calibri" w:cs="Arial"/>
        <w:b/>
        <w:color w:val="8496B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837D6"/>
    <w:multiLevelType w:val="hybridMultilevel"/>
    <w:tmpl w:val="6C160D72"/>
    <w:lvl w:ilvl="0" w:tplc="A62EC59A">
      <w:start w:val="1"/>
      <w:numFmt w:val="bullet"/>
      <w:lvlText w:val="-"/>
      <w:lvlJc w:val="left"/>
      <w:pPr>
        <w:tabs>
          <w:tab w:val="num" w:pos="720"/>
        </w:tabs>
        <w:ind w:left="720" w:hanging="360"/>
      </w:pPr>
      <w:rPr>
        <w:rFonts w:ascii="Times New Roman" w:eastAsia="Times New Roman" w:hAnsi="Times New Roman" w:cs="Times New Roman" w:hint="default"/>
      </w:rPr>
    </w:lvl>
    <w:lvl w:ilvl="1" w:tplc="250202FA">
      <w:start w:val="2"/>
      <w:numFmt w:val="bullet"/>
      <w:lvlText w:val=""/>
      <w:lvlJc w:val="left"/>
      <w:pPr>
        <w:tabs>
          <w:tab w:val="num" w:pos="1440"/>
        </w:tabs>
        <w:ind w:left="1440" w:hanging="360"/>
      </w:pPr>
      <w:rPr>
        <w:rFonts w:ascii="Symbol" w:eastAsia="Times New Roman" w:hAnsi="Symbol"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E64C81"/>
    <w:multiLevelType w:val="multilevel"/>
    <w:tmpl w:val="24DC54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A9B266C"/>
    <w:multiLevelType w:val="hybridMultilevel"/>
    <w:tmpl w:val="C65C4F48"/>
    <w:lvl w:ilvl="0" w:tplc="CB54FF18">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CE213A7"/>
    <w:multiLevelType w:val="multilevel"/>
    <w:tmpl w:val="1E76F2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3C83ED9"/>
    <w:multiLevelType w:val="hybridMultilevel"/>
    <w:tmpl w:val="39AE3B0E"/>
    <w:lvl w:ilvl="0" w:tplc="A776D4B2">
      <w:start w:val="5"/>
      <w:numFmt w:val="lowerLetter"/>
      <w:lvlText w:val="%1)"/>
      <w:lvlJc w:val="left"/>
      <w:pPr>
        <w:tabs>
          <w:tab w:val="num" w:pos="540"/>
        </w:tabs>
        <w:ind w:left="540" w:hanging="36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5" w15:restartNumberingAfterBreak="0">
    <w:nsid w:val="48FC3B68"/>
    <w:multiLevelType w:val="multilevel"/>
    <w:tmpl w:val="1E76F2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A02660B"/>
    <w:multiLevelType w:val="multilevel"/>
    <w:tmpl w:val="1E32CE5A"/>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BA437C8"/>
    <w:multiLevelType w:val="hybridMultilevel"/>
    <w:tmpl w:val="9CA054B6"/>
    <w:lvl w:ilvl="0" w:tplc="0C0A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47003866">
      <w:start w:val="1"/>
      <w:numFmt w:val="lowerLetter"/>
      <w:lvlText w:val="%3)"/>
      <w:lvlJc w:val="left"/>
      <w:pPr>
        <w:tabs>
          <w:tab w:val="num" w:pos="2340"/>
        </w:tabs>
        <w:ind w:left="2340" w:hanging="360"/>
      </w:pPr>
      <w:rPr>
        <w:rFonts w:hint="default"/>
        <w:color w:val="auto"/>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7F616DDF"/>
    <w:multiLevelType w:val="singleLevel"/>
    <w:tmpl w:val="0C0A0005"/>
    <w:lvl w:ilvl="0">
      <w:start w:val="1"/>
      <w:numFmt w:val="bullet"/>
      <w:lvlText w:val=""/>
      <w:lvlJc w:val="left"/>
      <w:pPr>
        <w:tabs>
          <w:tab w:val="num" w:pos="360"/>
        </w:tabs>
        <w:ind w:left="360" w:hanging="360"/>
      </w:pPr>
      <w:rPr>
        <w:rFonts w:ascii="Wingdings" w:hAnsi="Wingdings" w:hint="default"/>
      </w:rPr>
    </w:lvl>
  </w:abstractNum>
  <w:num w:numId="1" w16cid:durableId="1434519801">
    <w:abstractNumId w:val="8"/>
  </w:num>
  <w:num w:numId="2" w16cid:durableId="1419405445">
    <w:abstractNumId w:val="7"/>
  </w:num>
  <w:num w:numId="3" w16cid:durableId="473445384">
    <w:abstractNumId w:val="4"/>
  </w:num>
  <w:num w:numId="4" w16cid:durableId="1028800096">
    <w:abstractNumId w:val="0"/>
  </w:num>
  <w:num w:numId="5" w16cid:durableId="1466004534">
    <w:abstractNumId w:val="3"/>
  </w:num>
  <w:num w:numId="6" w16cid:durableId="574314422">
    <w:abstractNumId w:val="6"/>
  </w:num>
  <w:num w:numId="7" w16cid:durableId="1705056673">
    <w:abstractNumId w:val="1"/>
  </w:num>
  <w:num w:numId="8" w16cid:durableId="266039772">
    <w:abstractNumId w:val="2"/>
  </w:num>
  <w:num w:numId="9" w16cid:durableId="776291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E9B"/>
    <w:rsid w:val="00021547"/>
    <w:rsid w:val="00072A5A"/>
    <w:rsid w:val="000A3505"/>
    <w:rsid w:val="000B72D8"/>
    <w:rsid w:val="00172A0F"/>
    <w:rsid w:val="00185051"/>
    <w:rsid w:val="001C5A5B"/>
    <w:rsid w:val="001C7666"/>
    <w:rsid w:val="001E2753"/>
    <w:rsid w:val="001F03C9"/>
    <w:rsid w:val="0021104A"/>
    <w:rsid w:val="00272078"/>
    <w:rsid w:val="002903E2"/>
    <w:rsid w:val="002D7E6D"/>
    <w:rsid w:val="002E7726"/>
    <w:rsid w:val="00330A46"/>
    <w:rsid w:val="00332464"/>
    <w:rsid w:val="00342272"/>
    <w:rsid w:val="003A17A4"/>
    <w:rsid w:val="003B5FBE"/>
    <w:rsid w:val="003B70F4"/>
    <w:rsid w:val="003D670D"/>
    <w:rsid w:val="003D6CE9"/>
    <w:rsid w:val="00403765"/>
    <w:rsid w:val="004556DF"/>
    <w:rsid w:val="00487546"/>
    <w:rsid w:val="004B2C76"/>
    <w:rsid w:val="004B3787"/>
    <w:rsid w:val="004D0F88"/>
    <w:rsid w:val="004D447C"/>
    <w:rsid w:val="004F0B2C"/>
    <w:rsid w:val="00592403"/>
    <w:rsid w:val="006250CD"/>
    <w:rsid w:val="00625E9B"/>
    <w:rsid w:val="00655447"/>
    <w:rsid w:val="00694D38"/>
    <w:rsid w:val="006F0422"/>
    <w:rsid w:val="006F5274"/>
    <w:rsid w:val="00742C97"/>
    <w:rsid w:val="007E27D8"/>
    <w:rsid w:val="00804309"/>
    <w:rsid w:val="00862863"/>
    <w:rsid w:val="008764E3"/>
    <w:rsid w:val="00975833"/>
    <w:rsid w:val="009767C2"/>
    <w:rsid w:val="0099206F"/>
    <w:rsid w:val="009B2DB7"/>
    <w:rsid w:val="009C0822"/>
    <w:rsid w:val="009E7288"/>
    <w:rsid w:val="009F65E7"/>
    <w:rsid w:val="00A46F51"/>
    <w:rsid w:val="00A55BF5"/>
    <w:rsid w:val="00A8403A"/>
    <w:rsid w:val="00B241FD"/>
    <w:rsid w:val="00BD4147"/>
    <w:rsid w:val="00C45FF3"/>
    <w:rsid w:val="00C925F6"/>
    <w:rsid w:val="00C943CC"/>
    <w:rsid w:val="00CD0188"/>
    <w:rsid w:val="00CD7FA6"/>
    <w:rsid w:val="00D053C8"/>
    <w:rsid w:val="00D42642"/>
    <w:rsid w:val="00DB538A"/>
    <w:rsid w:val="00E00575"/>
    <w:rsid w:val="00E1444B"/>
    <w:rsid w:val="00E42060"/>
    <w:rsid w:val="00E44E53"/>
    <w:rsid w:val="00E50C3A"/>
    <w:rsid w:val="00EB7981"/>
    <w:rsid w:val="00EE3FBC"/>
    <w:rsid w:val="00F174FF"/>
    <w:rsid w:val="00F51BEE"/>
    <w:rsid w:val="00F9075A"/>
    <w:rsid w:val="00F92D6B"/>
    <w:rsid w:val="00FC11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0C8D0"/>
  <w15:chartTrackingRefBased/>
  <w15:docId w15:val="{E93FD549-C8A6-4673-908F-62397DE4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F0422"/>
    <w:rPr>
      <w:sz w:val="24"/>
      <w:szCs w:val="24"/>
      <w:lang w:eastAsia="es-ES"/>
    </w:rPr>
  </w:style>
  <w:style w:type="paragraph" w:styleId="Ttulo3">
    <w:name w:val="heading 3"/>
    <w:basedOn w:val="Normal"/>
    <w:next w:val="Normal"/>
    <w:qFormat/>
    <w:rsid w:val="006F0422"/>
    <w:pPr>
      <w:keepNext/>
      <w:spacing w:line="360" w:lineRule="atLeast"/>
      <w:ind w:left="708" w:hanging="708"/>
      <w:jc w:val="both"/>
      <w:outlineLvl w:val="2"/>
    </w:pPr>
    <w:rPr>
      <w:szCs w:val="20"/>
      <w:lang w:val="es-ES"/>
    </w:rPr>
  </w:style>
  <w:style w:type="paragraph" w:styleId="Ttulo4">
    <w:name w:val="heading 4"/>
    <w:basedOn w:val="Normal"/>
    <w:next w:val="Normal"/>
    <w:qFormat/>
    <w:rsid w:val="006F0422"/>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6F04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rsid w:val="006F0422"/>
    <w:pPr>
      <w:tabs>
        <w:tab w:val="center" w:pos="4252"/>
        <w:tab w:val="right" w:pos="8504"/>
      </w:tabs>
    </w:pPr>
  </w:style>
  <w:style w:type="paragraph" w:styleId="Piedepgina">
    <w:name w:val="footer"/>
    <w:basedOn w:val="Normal"/>
    <w:link w:val="PiedepginaCar"/>
    <w:uiPriority w:val="99"/>
    <w:rsid w:val="006F0422"/>
    <w:pPr>
      <w:tabs>
        <w:tab w:val="center" w:pos="4252"/>
        <w:tab w:val="right" w:pos="8504"/>
      </w:tabs>
    </w:pPr>
  </w:style>
  <w:style w:type="paragraph" w:styleId="Textodeglobo">
    <w:name w:val="Balloon Text"/>
    <w:basedOn w:val="Normal"/>
    <w:semiHidden/>
    <w:rsid w:val="00A55BF5"/>
    <w:rPr>
      <w:rFonts w:ascii="Tahoma" w:hAnsi="Tahoma" w:cs="Tahoma"/>
      <w:sz w:val="16"/>
      <w:szCs w:val="16"/>
    </w:rPr>
  </w:style>
  <w:style w:type="character" w:styleId="Refdecomentario">
    <w:name w:val="annotation reference"/>
    <w:semiHidden/>
    <w:rsid w:val="00403765"/>
    <w:rPr>
      <w:sz w:val="16"/>
      <w:szCs w:val="16"/>
    </w:rPr>
  </w:style>
  <w:style w:type="paragraph" w:styleId="Textocomentario">
    <w:name w:val="annotation text"/>
    <w:basedOn w:val="Normal"/>
    <w:semiHidden/>
    <w:rsid w:val="00403765"/>
    <w:rPr>
      <w:sz w:val="20"/>
      <w:szCs w:val="20"/>
    </w:rPr>
  </w:style>
  <w:style w:type="paragraph" w:styleId="Asuntodelcomentario">
    <w:name w:val="annotation subject"/>
    <w:basedOn w:val="Textocomentario"/>
    <w:next w:val="Textocomentario"/>
    <w:semiHidden/>
    <w:rsid w:val="00403765"/>
    <w:rPr>
      <w:b/>
      <w:bCs/>
    </w:rPr>
  </w:style>
  <w:style w:type="character" w:styleId="Hipervnculo">
    <w:name w:val="Hyperlink"/>
    <w:uiPriority w:val="99"/>
    <w:unhideWhenUsed/>
    <w:rsid w:val="00C943CC"/>
    <w:rPr>
      <w:color w:val="0563C1"/>
      <w:u w:val="single"/>
    </w:rPr>
  </w:style>
  <w:style w:type="character" w:customStyle="1" w:styleId="PiedepginaCar">
    <w:name w:val="Pie de página Car"/>
    <w:link w:val="Piedepgina"/>
    <w:uiPriority w:val="99"/>
    <w:rsid w:val="00DB538A"/>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E6A1E-DC2B-F74D-B14F-5027CBDD0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180</Words>
  <Characters>991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PROCEDIMIENTO PARA TRABAJOS EN ALTURA FISICA</vt:lpstr>
    </vt:vector>
  </TitlesOfParts>
  <Company>Universidad Catolica de Chile</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PARA TRABAJOS EN ALTURA FISICA</dc:title>
  <dc:subject/>
  <dc:creator>Depto de Prevencion Puc</dc:creator>
  <cp:keywords/>
  <dc:description/>
  <cp:lastModifiedBy>Verónica Elisa Arenas Morales</cp:lastModifiedBy>
  <cp:revision>2</cp:revision>
  <cp:lastPrinted>2011-09-05T15:16:00Z</cp:lastPrinted>
  <dcterms:created xsi:type="dcterms:W3CDTF">2023-04-21T16:05:00Z</dcterms:created>
  <dcterms:modified xsi:type="dcterms:W3CDTF">2023-04-21T16:05:00Z</dcterms:modified>
</cp:coreProperties>
</file>