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3413F" w14:textId="50624EC4" w:rsidR="00E50C3A" w:rsidRDefault="00975833" w:rsidP="00742C97">
      <w:pPr>
        <w:jc w:val="both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El siguiente documento, tiene como objetivo </w:t>
      </w:r>
      <w:r w:rsidR="00E1444B">
        <w:rPr>
          <w:rFonts w:asciiTheme="minorHAnsi" w:hAnsiTheme="minorHAnsi"/>
          <w:sz w:val="20"/>
        </w:rPr>
        <w:t>identificar los</w:t>
      </w:r>
      <w:r>
        <w:rPr>
          <w:rFonts w:asciiTheme="minorHAnsi" w:hAnsiTheme="minorHAnsi"/>
          <w:sz w:val="20"/>
        </w:rPr>
        <w:t xml:space="preserve"> factores de riesgos presentes en los distintos procedimientos que se realizan en </w:t>
      </w:r>
      <w:r w:rsidR="00E1444B">
        <w:rPr>
          <w:rFonts w:asciiTheme="minorHAnsi" w:hAnsiTheme="minorHAnsi"/>
          <w:sz w:val="20"/>
        </w:rPr>
        <w:t>el</w:t>
      </w:r>
      <w:r>
        <w:rPr>
          <w:rFonts w:asciiTheme="minorHAnsi" w:hAnsiTheme="minorHAnsi"/>
          <w:sz w:val="20"/>
        </w:rPr>
        <w:t xml:space="preserve"> </w:t>
      </w:r>
      <w:r w:rsidR="00E1444B">
        <w:rPr>
          <w:rFonts w:asciiTheme="minorHAnsi" w:hAnsiTheme="minorHAnsi"/>
          <w:sz w:val="20"/>
        </w:rPr>
        <w:t>laboratorio</w:t>
      </w:r>
      <w:r w:rsidR="000B72D8">
        <w:rPr>
          <w:rFonts w:asciiTheme="minorHAnsi" w:hAnsiTheme="minorHAnsi"/>
          <w:sz w:val="20"/>
        </w:rPr>
        <w:t xml:space="preserve"> y las medidas de seguridad que se deben implementar para que el trabajo se realice de manera segura.</w:t>
      </w:r>
    </w:p>
    <w:p w14:paraId="5A47F59A" w14:textId="77777777" w:rsidR="00975833" w:rsidRPr="00E50C3A" w:rsidRDefault="00975833" w:rsidP="00742C97">
      <w:pPr>
        <w:jc w:val="both"/>
        <w:rPr>
          <w:rFonts w:asciiTheme="minorHAnsi" w:hAnsiTheme="minorHAnsi"/>
          <w:sz w:val="20"/>
        </w:rPr>
      </w:pPr>
    </w:p>
    <w:p w14:paraId="2F09D47A" w14:textId="3ED5A663" w:rsidR="00742C97" w:rsidRDefault="00742C97" w:rsidP="00742C97">
      <w:pPr>
        <w:jc w:val="both"/>
        <w:rPr>
          <w:rFonts w:asciiTheme="minorHAnsi" w:hAnsiTheme="minorHAnsi"/>
          <w:sz w:val="20"/>
        </w:rPr>
      </w:pPr>
      <w:r w:rsidRPr="00742C97">
        <w:rPr>
          <w:rFonts w:asciiTheme="minorHAnsi" w:hAnsiTheme="minorHAnsi"/>
          <w:b/>
          <w:sz w:val="20"/>
        </w:rPr>
        <w:t>Tabla 1. Identificación del laboratorio.</w:t>
      </w:r>
      <w:r>
        <w:rPr>
          <w:rFonts w:asciiTheme="minorHAnsi" w:hAnsiTheme="minorHAnsi"/>
          <w:sz w:val="20"/>
        </w:rPr>
        <w:t xml:space="preserve"> En la siguiente tabla, complete los antecedentes del laboratorio en el que rea</w:t>
      </w:r>
      <w:r w:rsidR="0099206F">
        <w:rPr>
          <w:rFonts w:asciiTheme="minorHAnsi" w:hAnsiTheme="minorHAnsi"/>
          <w:sz w:val="20"/>
        </w:rPr>
        <w:t>l</w:t>
      </w:r>
      <w:r>
        <w:rPr>
          <w:rFonts w:asciiTheme="minorHAnsi" w:hAnsiTheme="minorHAnsi"/>
          <w:sz w:val="20"/>
        </w:rPr>
        <w:t>izará las actividades. Indique además, qué Académico/a(s) es responsable de dichos procedimientos, y en caso de aplicar, señale el nivel de bioseguridad del laboratorio (1, 2, 3, N/A).</w:t>
      </w:r>
    </w:p>
    <w:p w14:paraId="00BF2BBA" w14:textId="77777777" w:rsidR="00742C97" w:rsidRPr="00742C97" w:rsidRDefault="00742C97" w:rsidP="00742C97">
      <w:pPr>
        <w:jc w:val="both"/>
        <w:rPr>
          <w:rFonts w:asciiTheme="minorHAnsi" w:hAnsiTheme="minorHAnsi"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FC115D" w14:paraId="10592480" w14:textId="77777777" w:rsidTr="003A17A4">
        <w:tc>
          <w:tcPr>
            <w:tcW w:w="3402" w:type="dxa"/>
            <w:shd w:val="clear" w:color="auto" w:fill="E7E6E6" w:themeFill="background2"/>
          </w:tcPr>
          <w:p w14:paraId="5217F2E0" w14:textId="0FC12520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Facultad</w:t>
            </w:r>
          </w:p>
        </w:tc>
        <w:tc>
          <w:tcPr>
            <w:tcW w:w="6803" w:type="dxa"/>
          </w:tcPr>
          <w:p w14:paraId="7BCD5C41" w14:textId="7E2027BF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Facultad de Ingeniería</w:t>
            </w:r>
          </w:p>
        </w:tc>
      </w:tr>
      <w:tr w:rsidR="00FC115D" w14:paraId="29AF164A" w14:textId="77777777" w:rsidTr="003A17A4">
        <w:tc>
          <w:tcPr>
            <w:tcW w:w="3402" w:type="dxa"/>
            <w:shd w:val="clear" w:color="auto" w:fill="E7E6E6" w:themeFill="background2"/>
          </w:tcPr>
          <w:p w14:paraId="46D9F1C8" w14:textId="7FBA0407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Laboratorio</w:t>
            </w:r>
          </w:p>
        </w:tc>
        <w:tc>
          <w:tcPr>
            <w:tcW w:w="6803" w:type="dxa"/>
          </w:tcPr>
          <w:p w14:paraId="321D50BC" w14:textId="32A1C8DE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Centro de AstroIngeniería UC (AIUC) – Campus San Joaquín</w:t>
            </w:r>
          </w:p>
        </w:tc>
      </w:tr>
      <w:tr w:rsidR="00FC115D" w14:paraId="5955A2B0" w14:textId="77777777" w:rsidTr="003A17A4">
        <w:tc>
          <w:tcPr>
            <w:tcW w:w="3402" w:type="dxa"/>
            <w:shd w:val="clear" w:color="auto" w:fill="E7E6E6" w:themeFill="background2"/>
          </w:tcPr>
          <w:p w14:paraId="3CF6CE21" w14:textId="459AA8FE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Académico</w:t>
            </w:r>
            <w:r w:rsidR="00742C97">
              <w:rPr>
                <w:rFonts w:ascii="Calibri" w:hAnsi="Calibri" w:cs="Calibri"/>
                <w:b/>
                <w:sz w:val="20"/>
                <w:szCs w:val="20"/>
              </w:rPr>
              <w:t>(s)</w:t>
            </w:r>
            <w:r w:rsidRPr="00A46F51">
              <w:rPr>
                <w:rFonts w:ascii="Calibri" w:hAnsi="Calibri" w:cs="Calibri"/>
                <w:b/>
                <w:sz w:val="20"/>
                <w:szCs w:val="20"/>
              </w:rPr>
              <w:t xml:space="preserve"> Responsable</w:t>
            </w:r>
            <w:r w:rsidR="00742C97">
              <w:rPr>
                <w:rFonts w:ascii="Calibri" w:hAnsi="Calibri" w:cs="Calibri"/>
                <w:b/>
                <w:sz w:val="20"/>
                <w:szCs w:val="20"/>
              </w:rPr>
              <w:t>(s)</w:t>
            </w:r>
          </w:p>
        </w:tc>
        <w:tc>
          <w:tcPr>
            <w:tcW w:w="6803" w:type="dxa"/>
          </w:tcPr>
          <w:p w14:paraId="634E9922" w14:textId="3AC394F3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Marilyn Cruces</w:t>
            </w:r>
          </w:p>
        </w:tc>
      </w:tr>
      <w:tr w:rsidR="00FC115D" w14:paraId="5A4121F9" w14:textId="77777777" w:rsidTr="003A17A4">
        <w:tc>
          <w:tcPr>
            <w:tcW w:w="3402" w:type="dxa"/>
            <w:shd w:val="clear" w:color="auto" w:fill="E7E6E6" w:themeFill="background2"/>
          </w:tcPr>
          <w:p w14:paraId="454F2503" w14:textId="1A1B9214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Nivel de Bioseguridad</w:t>
            </w:r>
          </w:p>
        </w:tc>
        <w:tc>
          <w:tcPr>
            <w:tcW w:w="6803" w:type="dxa"/>
          </w:tcPr>
          <w:p w14:paraId="084BAD39" w14:textId="7C35F3E2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N/A (no se manipulan agentes biológicos)</w:t>
            </w:r>
          </w:p>
        </w:tc>
      </w:tr>
    </w:tbl>
    <w:p w14:paraId="5A7876B2" w14:textId="77777777" w:rsidR="00A46F51" w:rsidRDefault="00A46F51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 w14:paraId="6876C253" w14:textId="7E54A8AB" w:rsidR="00742C97" w:rsidRDefault="00742C97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  <w:r w:rsidRPr="003D670D">
        <w:rPr>
          <w:rFonts w:ascii="Calibri" w:hAnsi="Calibri" w:cs="Calibri"/>
          <w:b/>
          <w:sz w:val="20"/>
          <w:szCs w:val="20"/>
        </w:rPr>
        <w:t>Tabla 2. Procedimiento</w:t>
      </w:r>
      <w:r w:rsidR="003A17A4">
        <w:rPr>
          <w:rFonts w:ascii="Calibri" w:hAnsi="Calibri" w:cs="Calibri"/>
          <w:b/>
          <w:sz w:val="20"/>
          <w:szCs w:val="20"/>
        </w:rPr>
        <w:t xml:space="preserve"> a realizar</w:t>
      </w:r>
      <w:r w:rsidRPr="003D670D">
        <w:rPr>
          <w:rFonts w:ascii="Calibri" w:hAnsi="Calibri" w:cs="Calibri"/>
          <w:b/>
          <w:sz w:val="20"/>
          <w:szCs w:val="20"/>
        </w:rPr>
        <w:t>.</w:t>
      </w:r>
      <w:r>
        <w:rPr>
          <w:rFonts w:ascii="Calibri" w:hAnsi="Calibri" w:cs="Calibri"/>
          <w:sz w:val="20"/>
          <w:szCs w:val="20"/>
        </w:rPr>
        <w:t xml:space="preserve"> </w:t>
      </w:r>
      <w:r w:rsidR="003A17A4">
        <w:rPr>
          <w:rFonts w:ascii="Calibri" w:hAnsi="Calibri" w:cs="Calibri"/>
          <w:sz w:val="20"/>
          <w:szCs w:val="20"/>
        </w:rPr>
        <w:t>En la siguiente tabla, indique el nombre del procedimiento, la descripción, factores de riesgo que identifique, en qué área del laboratorio se realizará el procedimiento y elementos de protección personal (EPP) que se deben utilizar.</w:t>
      </w:r>
    </w:p>
    <w:p w14:paraId="3FE3365C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39E0C99E" w14:textId="77777777" w:rsidTr="003A17A4">
        <w:tc>
          <w:tcPr>
            <w:tcW w:w="3402" w:type="dxa"/>
            <w:shd w:val="clear" w:color="auto" w:fill="E7E6E6" w:themeFill="background2"/>
          </w:tcPr>
          <w:p w14:paraId="5DBE2D3A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Nombre del p</w:t>
            </w: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rocedimiento</w:t>
            </w:r>
          </w:p>
        </w:tc>
        <w:tc>
          <w:tcPr>
            <w:tcW w:w="6803" w:type="dxa"/>
          </w:tcPr>
          <w:p w14:paraId="63D9E987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i w:val="0"/>
                <w:sz w:val="20"/>
              </w:rPr>
              <w:t>PTS-01 · Preparación de superficie: lijado y desengrase de piezas de resina con solventes (alcohol isopropílico, metanol y acetona)</w:t>
            </w:r>
          </w:p>
        </w:tc>
      </w:tr>
    </w:tbl>
    <w:p w14:paraId="108CAACB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224C2C8C" w14:textId="77777777" w:rsidTr="003A17A4">
        <w:trPr>
          <w:trHeight w:val="1701"/>
        </w:trPr>
        <w:tc>
          <w:tcPr>
            <w:tcW w:w="3402" w:type="dxa"/>
            <w:shd w:val="clear" w:color="auto" w:fill="E7E6E6" w:themeFill="background2"/>
            <w:vAlign w:val="center"/>
          </w:tcPr>
          <w:p w14:paraId="716FBC14" w14:textId="77777777" w:rsidR="003A17A4" w:rsidRPr="00FC115D" w:rsidRDefault="003A17A4" w:rsidP="003A17A4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Descripción de la actividad a realizar</w:t>
            </w:r>
          </w:p>
        </w:tc>
        <w:tc>
          <w:tcPr>
            <w:tcW w:w="6803" w:type="dxa"/>
          </w:tcPr>
          <w:p w14:paraId="668F4B64" w14:textId="77777777" w:rsidR="003A17A4" w:rsidRDefault="003A17A4" w:rsidP="00BA2F26">
            <w:pPr>
              <w:autoSpaceDE w:val="0"/>
              <w:autoSpaceDN w:val="0"/>
              <w:adjustRightInd w:val="0"/>
              <w:spacing w:before="0" w:after="40"/>
              <w:ind w:left="0" w:firstLin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i w:val="0"/>
                <w:sz w:val="20"/>
              </w:rPr>
              <w:t>Antes del procedimiento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Verificar que la campana de extracción (o extracción localizada) esté encendida y funcionando. Nunca trabajar con metanol sin extracción.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Retirar del área toda fuente de ignición: llamas, placas calefactoras, cautines, pistolas de calor y equipos que generen chispas. Mantener la fuente DC del baño electrolítico apagada.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Revisar las FDS de los tres solventes y ubicar ducha de emergencia, lavaojos, extintor y kit de derrames.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Avisar a un par que se trabajará con solventes; debe permanecer en el laboratorio durante la actividad.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Colocarse el EPP indicado en la tabla de EPP.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Trasvasijar solo la cantidad necesaria de cada solvente (≈ 50–100 mL) a pisetas o frascos pequeños, rotulados con nombre y pictograma. Cerrar de inmediato los envases originales.</w:t>
            </w:r>
          </w:p>
          <w:p>
            <w:pPr>
              <w:keepNext/>
              <w:spacing w:before="100" w:after="40"/>
            </w:pPr>
            <w:r>
              <w:rPr>
                <w:rFonts w:ascii="Calibri" w:hAnsi="Calibri"/>
                <w:b/>
                <w:i w:val="0"/>
                <w:sz w:val="20"/>
              </w:rPr>
              <w:t>Protocolo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1.</w:t>
              <w:tab/>
              <w:t>Lijar la pieza impresa en resina con lija de grano 1200, con presión ligera y pasadas parejas. Preferir lijado en húmedo para no generar polvo; si se lija en seco, usar mascarilla N95/P2.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2.</w:t>
              <w:tab/>
              <w:t>Retirar el polvo con la pistola de aire comprimido, dirigiendo el chorro lejos del cuerpo, del rostro y de otras personas.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3.</w:t>
              <w:tab/>
              <w:t xml:space="preserve">Desengrasar con </w:t>
            </w:r>
            <w:r>
              <w:rPr>
                <w:rFonts w:ascii="Calibri" w:hAnsi="Calibri"/>
                <w:b/>
                <w:i w:val="0"/>
                <w:sz w:val="19"/>
              </w:rPr>
              <w:t>alcohol isopropílico (IPA)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aplicado sobre un paño limpio sin pelusa (no verter directamente sobre la pieza).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4.</w:t>
              <w:tab/>
              <w:t xml:space="preserve">Repetir la limpieza con </w:t>
            </w:r>
            <w:r>
              <w:rPr>
                <w:rFonts w:ascii="Calibri" w:hAnsi="Calibri"/>
                <w:b/>
                <w:i w:val="0"/>
                <w:sz w:val="19"/>
              </w:rPr>
              <w:t>metanol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sobre un paño limpio, </w:t>
            </w:r>
            <w:r>
              <w:rPr>
                <w:rFonts w:ascii="Calibri" w:hAnsi="Calibri"/>
                <w:b/>
                <w:i w:val="0"/>
                <w:sz w:val="19"/>
              </w:rPr>
              <w:t>exclusivamente bajo campana</w:t>
            </w:r>
            <w:r>
              <w:rPr>
                <w:rFonts w:ascii="Calibri" w:hAnsi="Calibri"/>
                <w:b w:val="0"/>
                <w:i w:val="0"/>
                <w:sz w:val="19"/>
              </w:rPr>
              <w:t>. El metanol es tóxico por contacto con la piel, ingestión e inhalación: evitar el contacto directo del paño con la piel.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5.</w:t>
              <w:tab/>
              <w:t xml:space="preserve">Realizar una última limpieza con </w:t>
            </w:r>
            <w:r>
              <w:rPr>
                <w:rFonts w:ascii="Calibri" w:hAnsi="Calibri"/>
                <w:b/>
                <w:i w:val="0"/>
                <w:sz w:val="19"/>
              </w:rPr>
              <w:t>acetona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en poca cantidad (la acetona puede atacar algunas resinas).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6.</w:t>
              <w:tab/>
              <w:t>Dejar evaporar completamente los solventes de la pieza en zona ventilada y sin fuentes de ignición antes de pasar a la aplicación de la pintura conductiva (PTS-02).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7.</w:t>
              <w:tab/>
              <w:t>Cerrar las pisetas/frascos después de cada uso; nunca dejar envases de solvente abiertos.</w:t>
            </w:r>
          </w:p>
          <w:p>
            <w:pPr>
              <w:keepNext/>
              <w:spacing w:before="100" w:after="40"/>
            </w:pPr>
            <w:r>
              <w:rPr>
                <w:rFonts w:ascii="Calibri" w:hAnsi="Calibri"/>
                <w:b/>
                <w:i w:val="0"/>
                <w:sz w:val="20"/>
              </w:rPr>
              <w:t>Posterior al procedimiento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Depositar los paños y papeles impregnados en un recipiente con tapa, rotulado «Residuos sólidos contaminados con solventes inflamables». No eliminarlos en la basura común.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Los restos de solvente sobrante se vierten en el bidón de «Residuos de solventes orgánicos no halogenados». No verter al desagüe.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Devolver los envases al almacenamiento de inflamables, lejos de ácidos y del nitrato de plata.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Limpiar el mesón, retirar los guantes sin tocar su cara externa y lavarse las manos.</w:t>
            </w:r>
          </w:p>
        </w:tc>
      </w:tr>
    </w:tbl>
    <w:p w14:paraId="5221B027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5BC01E94" w14:textId="77777777" w:rsidTr="003A17A4">
        <w:tc>
          <w:tcPr>
            <w:tcW w:w="3402" w:type="dxa"/>
            <w:shd w:val="clear" w:color="auto" w:fill="E7E6E6" w:themeFill="background2"/>
          </w:tcPr>
          <w:p w14:paraId="30713E5F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Factores de riesgo</w:t>
            </w:r>
          </w:p>
        </w:tc>
        <w:tc>
          <w:tcPr>
            <w:tcW w:w="6803" w:type="dxa"/>
          </w:tcPr>
          <w:p w14:paraId="03728760" w14:textId="77777777" w:rsidR="003A17A4" w:rsidRDefault="003A17A4" w:rsidP="00BA2F26">
            <w:pPr>
              <w:autoSpaceDE w:val="0"/>
              <w:autoSpaceDN w:val="0"/>
              <w:adjustRightInd w:val="0"/>
              <w:spacing w:before="0" w:after="30"/>
              <w:ind w:left="369" w:hanging="255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</w:r>
            <w:r>
              <w:rPr>
                <w:rFonts w:ascii="Calibri" w:hAnsi="Calibri"/>
                <w:b/>
                <w:i w:val="0"/>
                <w:sz w:val="19"/>
              </w:rPr>
              <w:t>Acetona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(UN 1090, clase 3): líquido y vapores muy inflamables (T. inflamación &lt; −20 °C); irritación ocular grave; puede provocar somnolencia o vértigo.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</w:r>
            <w:r>
              <w:rPr>
                <w:rFonts w:ascii="Calibri" w:hAnsi="Calibri"/>
                <w:b/>
                <w:i w:val="0"/>
                <w:sz w:val="19"/>
              </w:rPr>
              <w:t>Metanol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(UN 1230, clase 3): muy inflamable (T. inflamación 9,7 °C); </w:t>
            </w:r>
            <w:r>
              <w:rPr>
                <w:rFonts w:ascii="Calibri" w:hAnsi="Calibri"/>
                <w:b/>
                <w:i w:val="0"/>
                <w:sz w:val="19"/>
              </w:rPr>
              <w:t>tóxico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en caso de ingestión, contacto con la piel o inhalación; provoca daños en órganos (nervio óptico). LPP ponderado 175 ppm.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</w:r>
            <w:r>
              <w:rPr>
                <w:rFonts w:ascii="Calibri" w:hAnsi="Calibri"/>
                <w:b/>
                <w:i w:val="0"/>
                <w:sz w:val="19"/>
              </w:rPr>
              <w:t>Alcohol isopropílico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(UN 1219, clase 3): muy inflamable (T. inflamación 12 °C); irritación ocular; somnolencia/vértigo.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Vapores más pesados que el aire que pueden formar mezclas explosivas y desplazarse hasta fuentes de ignición lejanas.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Polvo de resina por lijado y proyección de partículas con aire comprimido.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Incompatibles con oxidantes fuertes, ácido sulfúrico, ácido nítrico y nitrato de plata.</w:t>
            </w:r>
          </w:p>
        </w:tc>
      </w:tr>
      <w:tr w:rsidR="003A17A4" w14:paraId="76229ADA" w14:textId="77777777" w:rsidTr="003A17A4">
        <w:tc>
          <w:tcPr>
            <w:tcW w:w="3402" w:type="dxa"/>
            <w:shd w:val="clear" w:color="auto" w:fill="E7E6E6" w:themeFill="background2"/>
          </w:tcPr>
          <w:p w14:paraId="7461F026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Zona de trabajo</w:t>
            </w:r>
          </w:p>
        </w:tc>
        <w:tc>
          <w:tcPr>
            <w:tcW w:w="6803" w:type="dxa"/>
          </w:tcPr>
          <w:p w14:paraId="6C46E095" w14:textId="77777777" w:rsidR="003A17A4" w:rsidRDefault="003A17A4" w:rsidP="00BA2F26">
            <w:pPr>
              <w:autoSpaceDE w:val="0"/>
              <w:autoSpaceDN w:val="0"/>
              <w:adjustRightInd w:val="0"/>
              <w:spacing w:before="0" w:after="30"/>
              <w:ind w:left="369" w:hanging="255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 xml:space="preserve">Pasos 3 a 7 y trasvasije de solventes: </w:t>
            </w:r>
            <w:r>
              <w:rPr>
                <w:rFonts w:ascii="Calibri" w:hAnsi="Calibri"/>
                <w:b/>
                <w:i w:val="0"/>
                <w:sz w:val="19"/>
              </w:rPr>
              <w:t>bajo campana de extracción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(obligatorio para metanol), en zona despejada y separada del baño electrolítico.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Pasos 1 y 2 (lijado y soplado): mesón de trabajo.</w:t>
            </w:r>
          </w:p>
        </w:tc>
      </w:tr>
    </w:tbl>
    <w:p w14:paraId="7717F885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2"/>
        <w:gridCol w:w="5102"/>
      </w:tblGrid>
      <w:tr w:rsidR="003A17A4" w14:paraId="23741103" w14:textId="77777777" w:rsidTr="003A17A4">
        <w:tc>
          <w:tcPr>
            <w:tcW w:w="5102" w:type="dxa"/>
            <w:shd w:val="clear" w:color="auto" w:fill="E7E6E6" w:themeFill="background2"/>
          </w:tcPr>
          <w:p w14:paraId="0D365DAF" w14:textId="77777777" w:rsidR="003A17A4" w:rsidRPr="00FC115D" w:rsidRDefault="003A17A4" w:rsidP="00BA2F2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Elementos de protección personal necesarios</w:t>
            </w:r>
          </w:p>
        </w:tc>
        <w:tc>
          <w:tcPr>
            <w:tcW w:w="5102" w:type="dxa"/>
            <w:shd w:val="clear" w:color="auto" w:fill="E7E6E6" w:themeFill="background2"/>
          </w:tcPr>
          <w:p w14:paraId="79B4AD94" w14:textId="77777777" w:rsidR="003A17A4" w:rsidRPr="00FC115D" w:rsidRDefault="003A17A4" w:rsidP="00BA2F2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Observaciones</w:t>
            </w:r>
          </w:p>
        </w:tc>
      </w:tr>
      <w:tr w:rsidR="003A17A4" w14:paraId="33838382" w14:textId="77777777" w:rsidTr="003A17A4">
        <w:tc>
          <w:tcPr>
            <w:tcW w:w="5102" w:type="dxa"/>
          </w:tcPr>
          <w:p w14:paraId="36BD5883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Delantal o bata de laboratorio manga larga (algodón)</w:t>
            </w:r>
          </w:p>
        </w:tc>
        <w:tc>
          <w:tcPr>
            <w:tcW w:w="5102" w:type="dxa"/>
          </w:tcPr>
          <w:p w14:paraId="18F96AD1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Uso obligatorio durante todo el procedimiento</w:t>
            </w:r>
          </w:p>
        </w:tc>
      </w:tr>
      <w:tr w:rsidR="003A17A4" w14:paraId="5BEC0E11" w14:textId="77777777" w:rsidTr="003A17A4">
        <w:tc>
          <w:tcPr>
            <w:tcW w:w="5102" w:type="dxa"/>
          </w:tcPr>
          <w:p w14:paraId="5758D2D0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Gafas de seguridad con protección lateral</w:t>
            </w:r>
          </w:p>
        </w:tc>
        <w:tc>
          <w:tcPr>
            <w:tcW w:w="5102" w:type="dxa"/>
          </w:tcPr>
          <w:p w14:paraId="059C656F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Uso obligatorio durante todo el procedimiento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Guantes de nitrilo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Uso obligatorio. Cambiar de inmediato si se mojan con acetona o metanol (baja resistencia a acetona). Para contacto prolongado usar guantes de butilo.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Respirador media cara con filtros para vapores orgánicos (tipo A/AX)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Solo si no se dispone de campana o extracción. No reemplaza la campana para metanol.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Mascarilla N95/P2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Durante el lijado en seco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Calzado cerrado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Uso obligatorio en el laboratorio</w:t>
            </w:r>
          </w:p>
        </w:tc>
      </w:tr>
    </w:tbl>
    <w:p w14:paraId="752021BB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 w14:paraId="412F50CD" w14:textId="77777777" w:rsidR="009B2DB7" w:rsidRPr="00DB538A" w:rsidRDefault="009B2DB7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>
      <w:pPr>
        <w:spacing w:before="160" w:after="40"/>
      </w:pPr>
      <w:r>
        <w:rPr>
          <w:rFonts w:ascii="Calibri" w:hAnsi="Calibri"/>
          <w:b/>
          <w:i w:val="0"/>
          <w:sz w:val="20"/>
        </w:rPr>
        <w:t>Documentos de referencia:</w:t>
      </w:r>
    </w:p>
    <w:p>
      <w:pPr>
        <w:spacing w:after="20"/>
        <w:ind w:left="255" w:hanging="255"/>
      </w:pPr>
      <w:r>
        <w:rPr>
          <w:rFonts w:ascii="Calibri" w:hAnsi="Calibri"/>
          <w:b w:val="0"/>
          <w:i w:val="0"/>
          <w:sz w:val="18"/>
        </w:rPr>
        <w:t>- FDS: Acetona Pura, Metanol o Alcohol Metílico y Alcohol Isopropílico (Bioquimica.cl / Científica), disponibles en InventarioQuimicoAIUC.</w:t>
      </w:r>
    </w:p>
    <w:p>
      <w:pPr>
        <w:spacing w:after="20"/>
        <w:ind w:left="255" w:hanging="255"/>
      </w:pPr>
      <w:r>
        <w:rPr>
          <w:rFonts w:ascii="Calibri" w:hAnsi="Calibri"/>
          <w:b w:val="0"/>
          <w:i w:val="0"/>
          <w:sz w:val="18"/>
        </w:rPr>
        <w:t>- Guía de Metalizado de Cobre sobre Pieza de Resina (Paso 1).</w:t>
      </w:r>
    </w:p>
    <w:p>
      <w:pPr>
        <w:spacing w:after="20"/>
        <w:ind w:left="255" w:hanging="255"/>
      </w:pPr>
      <w:r>
        <w:rPr>
          <w:rFonts w:ascii="Calibri" w:hAnsi="Calibri"/>
          <w:b w:val="0"/>
          <w:i w:val="0"/>
          <w:sz w:val="18"/>
        </w:rPr>
        <w:t>- Protocolo general de manejo de químicos AIUC y Procedimiento en caso de derrame F-DPR 15.</w:t>
      </w:r>
    </w:p>
    <w:p w14:paraId="65932AA4" w14:textId="5EF9E632" w:rsidR="00F92D6B" w:rsidRPr="009767C2" w:rsidRDefault="00FC115D" w:rsidP="00F92D6B">
      <w:pPr>
        <w:spacing w:before="200"/>
        <w:rPr>
          <w:rFonts w:ascii="Calibri" w:hAnsi="Calibri" w:cs="Calibri"/>
          <w:b/>
          <w:color w:val="000000" w:themeColor="text1"/>
        </w:rPr>
      </w:pPr>
      <w:r w:rsidRPr="009767C2">
        <w:rPr>
          <w:rFonts w:ascii="Calibri" w:hAnsi="Calibri" w:cs="Calibri"/>
          <w:b/>
          <w:color w:val="000000" w:themeColor="text1"/>
          <w:sz w:val="20"/>
          <w:szCs w:val="20"/>
        </w:rPr>
        <w:t>Responsables:</w:t>
      </w:r>
    </w:p>
    <w:p w14:paraId="59D7C093" w14:textId="77777777" w:rsidR="001C7666" w:rsidRPr="00DB538A" w:rsidRDefault="001C7666" w:rsidP="00F92D6B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C115D" w:rsidRPr="00FC115D" w14:paraId="1A59555E" w14:textId="77777777" w:rsidTr="00FC115D">
        <w:tc>
          <w:tcPr>
            <w:tcW w:w="4814" w:type="dxa"/>
          </w:tcPr>
          <w:p w14:paraId="3655A539" w14:textId="585287F1" w:rsidR="00FC115D" w:rsidRPr="00FC115D" w:rsidRDefault="00FC115D" w:rsidP="00172A0F">
            <w:pPr>
              <w:spacing w:after="20" w:before="0"/>
              <w:jc w:val="left"/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/>
                <w:b w:val="0"/>
                <w:i/>
                <w:sz w:val="20"/>
              </w:rPr>
              <w:t>Elaborado por: Nicolás Seguel Ardiles</w:t>
            </w:r>
          </w:p>
        </w:tc>
        <w:tc>
          <w:tcPr>
            <w:tcW w:w="4814" w:type="dxa"/>
          </w:tcPr>
          <w:p w14:paraId="5CDE4CB2" w14:textId="77777777" w:rsidR="00FC115D" w:rsidRDefault="00FC115D" w:rsidP="00172A0F">
            <w:pPr>
              <w:spacing w:after="20" w:before="0"/>
              <w:jc w:val="left"/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/>
                <w:b w:val="0"/>
                <w:i/>
                <w:sz w:val="20"/>
              </w:rPr>
              <w:t>Revisado por:</w:t>
            </w:r>
          </w:p>
        </w:tc>
      </w:tr>
      <w:tr w:rsidR="00FC115D" w:rsidRPr="00FC115D" w14:paraId="2EB25C58" w14:textId="77777777" w:rsidTr="00FC115D">
        <w:tc>
          <w:tcPr>
            <w:tcW w:w="4814" w:type="dxa"/>
          </w:tcPr>
          <w:p w14:paraId="702CAD78" w14:textId="71360EFA" w:rsidR="00FC115D" w:rsidRPr="00FC115D" w:rsidRDefault="00FC115D" w:rsidP="00172A0F">
            <w:pPr>
              <w:spacing w:after="20" w:before="0"/>
              <w:jc w:val="left"/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/>
                <w:b w:val="0"/>
                <w:i/>
                <w:sz w:val="20"/>
              </w:rPr>
              <w:t>Fecha: 30/09/2026</w:t>
            </w:r>
          </w:p>
        </w:tc>
        <w:tc>
          <w:tcPr>
            <w:tcW w:w="4814" w:type="dxa"/>
          </w:tcPr>
          <w:p w14:paraId="7D07C8E1" w14:textId="63CA2445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Fecha:</w:t>
            </w:r>
          </w:p>
        </w:tc>
      </w:tr>
      <w:tr w:rsidR="00FC115D" w:rsidRPr="00FC115D" w14:paraId="4A37C377" w14:textId="77777777" w:rsidTr="00FC115D">
        <w:tc>
          <w:tcPr>
            <w:tcW w:w="4814" w:type="dxa"/>
          </w:tcPr>
          <w:p w14:paraId="57313C81" w14:textId="77777777" w:rsid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Firma</w:t>
            </w:r>
          </w:p>
          <w:p w14:paraId="16EAF3A9" w14:textId="77777777" w:rsid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  <w:p w14:paraId="0B8D7882" w14:textId="41E97246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</w:tc>
        <w:tc>
          <w:tcPr>
            <w:tcW w:w="4814" w:type="dxa"/>
          </w:tcPr>
          <w:p w14:paraId="4D54D337" w14:textId="5CFCA81C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Firma</w:t>
            </w:r>
          </w:p>
        </w:tc>
      </w:tr>
    </w:tbl>
    <w:p w14:paraId="7E9F05A0" w14:textId="77777777" w:rsidR="00172A0F" w:rsidRPr="00E00575" w:rsidRDefault="00172A0F" w:rsidP="00172A0F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</w:p>
    <w:sectPr w:rsidR="00172A0F" w:rsidRPr="00E00575" w:rsidSect="003A17A4">
      <w:headerReference w:type="default" r:id="rId8"/>
      <w:pgSz w:w="12240" w:h="15840"/>
      <w:pgMar w:top="1548" w:right="720" w:bottom="720" w:left="720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F0665" w14:textId="77777777" w:rsidR="009E7288" w:rsidRDefault="009E7288">
      <w:r>
        <w:separator/>
      </w:r>
    </w:p>
  </w:endnote>
  <w:endnote w:type="continuationSeparator" w:id="0">
    <w:p w14:paraId="6D6764C3" w14:textId="77777777" w:rsidR="009E7288" w:rsidRDefault="009E7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A261E" w14:textId="77777777" w:rsidR="009E7288" w:rsidRDefault="009E7288">
      <w:r>
        <w:separator/>
      </w:r>
    </w:p>
  </w:footnote>
  <w:footnote w:type="continuationSeparator" w:id="0">
    <w:p w14:paraId="46BAAEDB" w14:textId="77777777" w:rsidR="009E7288" w:rsidRDefault="009E7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6658E" w14:textId="1476B338" w:rsidR="00CD0188" w:rsidRDefault="00CD0188" w:rsidP="00CD0188"/>
  <w:p w14:paraId="73742571" w14:textId="408B5ECF" w:rsidR="00CD0188" w:rsidRPr="00CD0188" w:rsidRDefault="00CD0188" w:rsidP="00CD0188"/>
  <w:tbl>
    <w:tblPr>
      <w:tblStyle w:val="Tablaconcuadrcula"/>
      <w:tblpPr w:leftFromText="141" w:rightFromText="141" w:horzAnchor="margin" w:tblpXSpec="center" w:tblpY="-600"/>
      <w:tblW w:w="10145" w:type="dxa"/>
      <w:tblBorders>
        <w:top w:val="double" w:sz="4" w:space="0" w:color="808080" w:themeColor="background1" w:themeShade="80"/>
        <w:left w:val="double" w:sz="4" w:space="0" w:color="808080" w:themeColor="background1" w:themeShade="80"/>
        <w:bottom w:val="double" w:sz="4" w:space="0" w:color="808080" w:themeColor="background1" w:themeShade="80"/>
        <w:right w:val="double" w:sz="4" w:space="0" w:color="808080" w:themeColor="background1" w:themeShade="80"/>
        <w:insideH w:val="double" w:sz="4" w:space="0" w:color="808080" w:themeColor="background1" w:themeShade="80"/>
        <w:insideV w:val="doub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552"/>
      <w:gridCol w:w="4513"/>
      <w:gridCol w:w="2080"/>
    </w:tblGrid>
    <w:tr w:rsidR="003A17A4" w:rsidRPr="00693EC4" w14:paraId="675D7CA4" w14:textId="77777777" w:rsidTr="00BA2F26">
      <w:trPr>
        <w:trHeight w:val="762"/>
      </w:trPr>
      <w:tc>
        <w:tcPr>
          <w:tcW w:w="3552" w:type="dxa"/>
        </w:tcPr>
        <w:p w14:paraId="68AA2104" w14:textId="77777777" w:rsidR="003A17A4" w:rsidRPr="00693EC4" w:rsidRDefault="003A17A4" w:rsidP="003A17A4">
          <w:pPr>
            <w:spacing w:after="60" w:line="276" w:lineRule="auto"/>
            <w:ind w:right="418"/>
            <w:jc w:val="center"/>
            <w:rPr>
              <w:rFonts w:ascii="Calibri" w:eastAsia="Yu Gothic UI" w:hAnsi="Calibri" w:cs="Arial"/>
              <w:b/>
              <w:color w:val="2F5496" w:themeColor="accent1" w:themeShade="BF"/>
              <w:sz w:val="28"/>
            </w:rPr>
          </w:pPr>
          <w:r w:rsidRPr="00693EC4">
            <w:rPr>
              <w:noProof/>
              <w:lang w:val="es-ES_tradnl" w:eastAsia="es-ES_tradnl"/>
            </w:rPr>
            <w:drawing>
              <wp:anchor distT="0" distB="0" distL="114300" distR="114300" simplePos="0" relativeHeight="251660288" behindDoc="0" locked="0" layoutInCell="1" allowOverlap="1" wp14:anchorId="08839931" wp14:editId="3B9898B6">
                <wp:simplePos x="0" y="0"/>
                <wp:positionH relativeFrom="column">
                  <wp:posOffset>958215</wp:posOffset>
                </wp:positionH>
                <wp:positionV relativeFrom="page">
                  <wp:posOffset>128891</wp:posOffset>
                </wp:positionV>
                <wp:extent cx="1188720" cy="416560"/>
                <wp:effectExtent l="0" t="0" r="5080" b="2540"/>
                <wp:wrapSquare wrapText="bothSides"/>
                <wp:docPr id="3" name="Imagen 3" descr="Banner 800x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Banner 800x200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314" r="1834"/>
                        <a:stretch/>
                      </pic:blipFill>
                      <pic:spPr bwMode="auto">
                        <a:xfrm>
                          <a:off x="0" y="0"/>
                          <a:ext cx="118872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93EC4">
            <w:rPr>
              <w:noProof/>
              <w:lang w:val="es-ES_tradnl" w:eastAsia="es-ES_tradnl"/>
            </w:rPr>
            <w:drawing>
              <wp:anchor distT="0" distB="0" distL="114300" distR="114300" simplePos="0" relativeHeight="251659264" behindDoc="1" locked="0" layoutInCell="1" allowOverlap="1" wp14:anchorId="68274286" wp14:editId="453008AA">
                <wp:simplePos x="0" y="0"/>
                <wp:positionH relativeFrom="column">
                  <wp:posOffset>-21591</wp:posOffset>
                </wp:positionH>
                <wp:positionV relativeFrom="page">
                  <wp:posOffset>32580</wp:posOffset>
                </wp:positionV>
                <wp:extent cx="981075" cy="553525"/>
                <wp:effectExtent l="0" t="0" r="0" b="0"/>
                <wp:wrapNone/>
                <wp:docPr id="4" name="Imagen 4" descr="UC lineal-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UC lineal-02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25" t="4688" b="6185"/>
                        <a:stretch/>
                      </pic:blipFill>
                      <pic:spPr bwMode="auto">
                        <a:xfrm>
                          <a:off x="0" y="0"/>
                          <a:ext cx="983418" cy="5548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13" w:type="dxa"/>
          <w:vAlign w:val="center"/>
        </w:tcPr>
        <w:p w14:paraId="61C195AE" w14:textId="65C89A81" w:rsidR="003A17A4" w:rsidRPr="00556385" w:rsidRDefault="003A17A4" w:rsidP="003A17A4">
          <w:pPr>
            <w:spacing w:after="60" w:line="276" w:lineRule="auto"/>
            <w:ind w:right="418"/>
            <w:jc w:val="center"/>
            <w:rPr>
              <w:rFonts w:ascii="Calibri" w:eastAsia="Yu Gothic UI" w:hAnsi="Calibri" w:cs="Arial"/>
              <w:b/>
              <w:color w:val="2F5496" w:themeColor="accent1" w:themeShade="BF"/>
              <w:sz w:val="28"/>
              <w:szCs w:val="28"/>
            </w:rPr>
          </w:pPr>
          <w:r>
            <w:rPr>
              <w:rFonts w:ascii="Calibri" w:eastAsia="Yu Gothic UI" w:hAnsi="Calibri" w:cs="Arial"/>
              <w:b/>
              <w:color w:val="2F5496" w:themeColor="accent1" w:themeShade="BF"/>
              <w:sz w:val="28"/>
              <w:szCs w:val="28"/>
            </w:rPr>
            <w:t>PROCEDIMIENTO DE TRABAJO SEGURO</w:t>
          </w:r>
        </w:p>
      </w:tc>
      <w:tc>
        <w:tcPr>
          <w:tcW w:w="2080" w:type="dxa"/>
          <w:vAlign w:val="center"/>
        </w:tcPr>
        <w:p w14:paraId="5A981E62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Versión: </w:t>
          </w: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</w:p>
        <w:p w14:paraId="18D27E34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Fecha: </w:t>
          </w: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>30/09/2026</w:t>
          </w:r>
        </w:p>
        <w:p w14:paraId="5E405A3E" w14:textId="77777777" w:rsidR="003A17A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>Elaborado: Nicolás Seguel A.</w:t>
          </w:r>
        </w:p>
        <w:p w14:paraId="65D2F60E" w14:textId="77777777" w:rsidR="003A17A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Revisado: </w:t>
          </w:r>
        </w:p>
        <w:p w14:paraId="693668C0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Página 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begin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instrText xml:space="preserve"> PAGE </w:instrTex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separate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end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 de 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begin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instrText xml:space="preserve"> NUMPAGES </w:instrTex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separate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end"/>
          </w:r>
        </w:p>
      </w:tc>
    </w:tr>
  </w:tbl>
  <w:p w14:paraId="28C27697" w14:textId="7C0F9F0D" w:rsidR="001C7666" w:rsidRPr="001C7666" w:rsidRDefault="001C7666" w:rsidP="003A17A4">
    <w:pPr>
      <w:spacing w:after="60" w:line="276" w:lineRule="auto"/>
      <w:ind w:right="418"/>
      <w:rPr>
        <w:rFonts w:ascii="Calibri" w:eastAsia="Yu Gothic UI" w:hAnsi="Calibri" w:cs="Arial"/>
        <w:b/>
        <w:color w:val="8496B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837D6"/>
    <w:multiLevelType w:val="hybridMultilevel"/>
    <w:tmpl w:val="6C160D72"/>
    <w:lvl w:ilvl="0" w:tplc="A62EC59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250202FA">
      <w:start w:val="2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64C81"/>
    <w:multiLevelType w:val="multilevel"/>
    <w:tmpl w:val="24DC5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A9B266C"/>
    <w:multiLevelType w:val="hybridMultilevel"/>
    <w:tmpl w:val="C65C4F48"/>
    <w:lvl w:ilvl="0" w:tplc="CB54FF1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213A7"/>
    <w:multiLevelType w:val="multilevel"/>
    <w:tmpl w:val="1E76F2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3C83ED9"/>
    <w:multiLevelType w:val="hybridMultilevel"/>
    <w:tmpl w:val="39AE3B0E"/>
    <w:lvl w:ilvl="0" w:tplc="A776D4B2">
      <w:start w:val="5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48FC3B68"/>
    <w:multiLevelType w:val="multilevel"/>
    <w:tmpl w:val="1E76F2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A02660B"/>
    <w:multiLevelType w:val="multilevel"/>
    <w:tmpl w:val="1E32CE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BA437C8"/>
    <w:multiLevelType w:val="hybridMultilevel"/>
    <w:tmpl w:val="9CA054B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003866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color w:val="auto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F616DDF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434519801">
    <w:abstractNumId w:val="8"/>
  </w:num>
  <w:num w:numId="2" w16cid:durableId="1419405445">
    <w:abstractNumId w:val="7"/>
  </w:num>
  <w:num w:numId="3" w16cid:durableId="473445384">
    <w:abstractNumId w:val="4"/>
  </w:num>
  <w:num w:numId="4" w16cid:durableId="1028800096">
    <w:abstractNumId w:val="0"/>
  </w:num>
  <w:num w:numId="5" w16cid:durableId="1466004534">
    <w:abstractNumId w:val="3"/>
  </w:num>
  <w:num w:numId="6" w16cid:durableId="574314422">
    <w:abstractNumId w:val="6"/>
  </w:num>
  <w:num w:numId="7" w16cid:durableId="1705056673">
    <w:abstractNumId w:val="1"/>
  </w:num>
  <w:num w:numId="8" w16cid:durableId="266039772">
    <w:abstractNumId w:val="2"/>
  </w:num>
  <w:num w:numId="9" w16cid:durableId="776291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E9B"/>
    <w:rsid w:val="00021547"/>
    <w:rsid w:val="00072A5A"/>
    <w:rsid w:val="000A3505"/>
    <w:rsid w:val="000B72D8"/>
    <w:rsid w:val="00172A0F"/>
    <w:rsid w:val="00185051"/>
    <w:rsid w:val="001C5A5B"/>
    <w:rsid w:val="001C7666"/>
    <w:rsid w:val="001E2753"/>
    <w:rsid w:val="001F03C9"/>
    <w:rsid w:val="0021104A"/>
    <w:rsid w:val="00272078"/>
    <w:rsid w:val="002903E2"/>
    <w:rsid w:val="002D7E6D"/>
    <w:rsid w:val="002E7726"/>
    <w:rsid w:val="00330A46"/>
    <w:rsid w:val="00332464"/>
    <w:rsid w:val="00342272"/>
    <w:rsid w:val="003A17A4"/>
    <w:rsid w:val="003B5FBE"/>
    <w:rsid w:val="003B70F4"/>
    <w:rsid w:val="003D670D"/>
    <w:rsid w:val="003D6CE9"/>
    <w:rsid w:val="00403765"/>
    <w:rsid w:val="004556DF"/>
    <w:rsid w:val="00487546"/>
    <w:rsid w:val="004B2C76"/>
    <w:rsid w:val="004B3787"/>
    <w:rsid w:val="004D0F88"/>
    <w:rsid w:val="004D447C"/>
    <w:rsid w:val="004F0B2C"/>
    <w:rsid w:val="00592403"/>
    <w:rsid w:val="006250CD"/>
    <w:rsid w:val="00625E9B"/>
    <w:rsid w:val="00655447"/>
    <w:rsid w:val="00694D38"/>
    <w:rsid w:val="006F0422"/>
    <w:rsid w:val="006F5274"/>
    <w:rsid w:val="00742C97"/>
    <w:rsid w:val="007E27D8"/>
    <w:rsid w:val="00804309"/>
    <w:rsid w:val="00862863"/>
    <w:rsid w:val="008764E3"/>
    <w:rsid w:val="00975833"/>
    <w:rsid w:val="009767C2"/>
    <w:rsid w:val="0099206F"/>
    <w:rsid w:val="009B2DB7"/>
    <w:rsid w:val="009C0822"/>
    <w:rsid w:val="009E7288"/>
    <w:rsid w:val="009F65E7"/>
    <w:rsid w:val="00A46F51"/>
    <w:rsid w:val="00A55BF5"/>
    <w:rsid w:val="00A8403A"/>
    <w:rsid w:val="00B241FD"/>
    <w:rsid w:val="00BD4147"/>
    <w:rsid w:val="00C45FF3"/>
    <w:rsid w:val="00C925F6"/>
    <w:rsid w:val="00C943CC"/>
    <w:rsid w:val="00CD0188"/>
    <w:rsid w:val="00CD7FA6"/>
    <w:rsid w:val="00D053C8"/>
    <w:rsid w:val="00D42642"/>
    <w:rsid w:val="00DB538A"/>
    <w:rsid w:val="00E00575"/>
    <w:rsid w:val="00E1444B"/>
    <w:rsid w:val="00E42060"/>
    <w:rsid w:val="00E44E53"/>
    <w:rsid w:val="00E50C3A"/>
    <w:rsid w:val="00EB7981"/>
    <w:rsid w:val="00EE3FBC"/>
    <w:rsid w:val="00F174FF"/>
    <w:rsid w:val="00F51BEE"/>
    <w:rsid w:val="00F9075A"/>
    <w:rsid w:val="00F92D6B"/>
    <w:rsid w:val="00FC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60C8D0"/>
  <w15:chartTrackingRefBased/>
  <w15:docId w15:val="{E93FD549-C8A6-4673-908F-62397DE4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F0422"/>
    <w:rPr>
      <w:sz w:val="24"/>
      <w:szCs w:val="24"/>
      <w:lang w:eastAsia="es-ES"/>
    </w:rPr>
  </w:style>
  <w:style w:type="paragraph" w:styleId="Ttulo3">
    <w:name w:val="heading 3"/>
    <w:basedOn w:val="Normal"/>
    <w:next w:val="Normal"/>
    <w:qFormat/>
    <w:rsid w:val="006F0422"/>
    <w:pPr>
      <w:keepNext/>
      <w:spacing w:line="360" w:lineRule="atLeast"/>
      <w:ind w:left="708" w:hanging="708"/>
      <w:jc w:val="both"/>
      <w:outlineLvl w:val="2"/>
    </w:pPr>
    <w:rPr>
      <w:szCs w:val="20"/>
      <w:lang w:val="es-ES"/>
    </w:rPr>
  </w:style>
  <w:style w:type="paragraph" w:styleId="Ttulo4">
    <w:name w:val="heading 4"/>
    <w:basedOn w:val="Normal"/>
    <w:next w:val="Normal"/>
    <w:qFormat/>
    <w:rsid w:val="006F0422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6F04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6F042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F0422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A55BF5"/>
    <w:rPr>
      <w:rFonts w:ascii="Tahoma" w:hAnsi="Tahoma" w:cs="Tahoma"/>
      <w:sz w:val="16"/>
      <w:szCs w:val="16"/>
    </w:rPr>
  </w:style>
  <w:style w:type="character" w:styleId="Refdecomentario">
    <w:name w:val="annotation reference"/>
    <w:semiHidden/>
    <w:rsid w:val="00403765"/>
    <w:rPr>
      <w:sz w:val="16"/>
      <w:szCs w:val="16"/>
    </w:rPr>
  </w:style>
  <w:style w:type="paragraph" w:styleId="Textocomentario">
    <w:name w:val="annotation text"/>
    <w:basedOn w:val="Normal"/>
    <w:semiHidden/>
    <w:rsid w:val="0040376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403765"/>
    <w:rPr>
      <w:b/>
      <w:bCs/>
    </w:rPr>
  </w:style>
  <w:style w:type="character" w:styleId="Hipervnculo">
    <w:name w:val="Hyperlink"/>
    <w:uiPriority w:val="99"/>
    <w:unhideWhenUsed/>
    <w:rsid w:val="00C943CC"/>
    <w:rPr>
      <w:color w:val="0563C1"/>
      <w:u w:val="single"/>
    </w:rPr>
  </w:style>
  <w:style w:type="character" w:customStyle="1" w:styleId="PiedepginaCar">
    <w:name w:val="Pie de página Car"/>
    <w:link w:val="Piedepgina"/>
    <w:uiPriority w:val="99"/>
    <w:rsid w:val="00DB538A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E6A1E-DC2B-F74D-B14F-5027CBDD0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PROCEDIMIENTO PARA TRABAJOS EN ALTURA FISICA</vt:lpstr>
    </vt:vector>
  </TitlesOfParts>
  <Company>Universidad Catolica de Chile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PARA TRABAJOS EN ALTURA FISICA</dc:title>
  <dc:subject/>
  <dc:creator>Depto de Prevencion Puc</dc:creator>
  <cp:keywords/>
  <dc:description/>
  <cp:lastModifiedBy>Verónica Elisa Arenas Morales</cp:lastModifiedBy>
  <cp:revision>2</cp:revision>
  <cp:lastPrinted>2011-09-05T15:16:00Z</cp:lastPrinted>
  <dcterms:created xsi:type="dcterms:W3CDTF">2023-04-21T16:05:00Z</dcterms:created>
  <dcterms:modified xsi:type="dcterms:W3CDTF">2023-04-21T16:05:00Z</dcterms:modified>
</cp:coreProperties>
</file>