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3413F" w14:textId="50624EC4" w:rsidR="00E50C3A" w:rsidRDefault="00975833" w:rsidP="00742C97">
      <w:pPr>
        <w:jc w:val="both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El siguiente documento, tiene como objetivo </w:t>
      </w:r>
      <w:r w:rsidR="00E1444B">
        <w:rPr>
          <w:rFonts w:asciiTheme="minorHAnsi" w:hAnsiTheme="minorHAnsi"/>
          <w:sz w:val="20"/>
        </w:rPr>
        <w:t>identificar los</w:t>
      </w:r>
      <w:r>
        <w:rPr>
          <w:rFonts w:asciiTheme="minorHAnsi" w:hAnsiTheme="minorHAnsi"/>
          <w:sz w:val="20"/>
        </w:rPr>
        <w:t xml:space="preserve"> factores de riesgos presentes en los distintos procedimientos que se realizan en </w:t>
      </w:r>
      <w:r w:rsidR="00E1444B">
        <w:rPr>
          <w:rFonts w:asciiTheme="minorHAnsi" w:hAnsiTheme="minorHAnsi"/>
          <w:sz w:val="20"/>
        </w:rPr>
        <w:t>el</w:t>
      </w:r>
      <w:r>
        <w:rPr>
          <w:rFonts w:asciiTheme="minorHAnsi" w:hAnsiTheme="minorHAnsi"/>
          <w:sz w:val="20"/>
        </w:rPr>
        <w:t xml:space="preserve"> </w:t>
      </w:r>
      <w:r w:rsidR="00E1444B">
        <w:rPr>
          <w:rFonts w:asciiTheme="minorHAnsi" w:hAnsiTheme="minorHAnsi"/>
          <w:sz w:val="20"/>
        </w:rPr>
        <w:t>laboratorio</w:t>
      </w:r>
      <w:r w:rsidR="000B72D8">
        <w:rPr>
          <w:rFonts w:asciiTheme="minorHAnsi" w:hAnsiTheme="minorHAnsi"/>
          <w:sz w:val="20"/>
        </w:rPr>
        <w:t xml:space="preserve"> y las medidas de seguridad que se deben implementar para que el trabajo se realice de manera segura.</w:t>
      </w:r>
    </w:p>
    <w:p w14:paraId="5A47F59A" w14:textId="77777777" w:rsidR="00975833" w:rsidRPr="00E50C3A" w:rsidRDefault="00975833" w:rsidP="00742C97">
      <w:pPr>
        <w:jc w:val="both"/>
        <w:rPr>
          <w:rFonts w:asciiTheme="minorHAnsi" w:hAnsiTheme="minorHAnsi"/>
          <w:sz w:val="20"/>
        </w:rPr>
      </w:pPr>
    </w:p>
    <w:p w14:paraId="2F09D47A" w14:textId="3ED5A663" w:rsidR="00742C97" w:rsidRDefault="00742C97" w:rsidP="00742C97">
      <w:pPr>
        <w:jc w:val="both"/>
        <w:rPr>
          <w:rFonts w:asciiTheme="minorHAnsi" w:hAnsiTheme="minorHAnsi"/>
          <w:sz w:val="20"/>
        </w:rPr>
      </w:pPr>
      <w:r w:rsidRPr="00742C97">
        <w:rPr>
          <w:rFonts w:asciiTheme="minorHAnsi" w:hAnsiTheme="minorHAnsi"/>
          <w:b/>
          <w:sz w:val="20"/>
        </w:rPr>
        <w:t>Tabla 1. Identificación del laboratorio.</w:t>
      </w:r>
      <w:r>
        <w:rPr>
          <w:rFonts w:asciiTheme="minorHAnsi" w:hAnsiTheme="minorHAnsi"/>
          <w:sz w:val="20"/>
        </w:rPr>
        <w:t xml:space="preserve"> En la siguiente tabla, complete los antecedentes del laboratorio en el que rea</w:t>
      </w:r>
      <w:r w:rsidR="0099206F">
        <w:rPr>
          <w:rFonts w:asciiTheme="minorHAnsi" w:hAnsiTheme="minorHAnsi"/>
          <w:sz w:val="20"/>
        </w:rPr>
        <w:t>l</w:t>
      </w:r>
      <w:r>
        <w:rPr>
          <w:rFonts w:asciiTheme="minorHAnsi" w:hAnsiTheme="minorHAnsi"/>
          <w:sz w:val="20"/>
        </w:rPr>
        <w:t>izará las actividades. Indique además, qué Académico/a(s) es responsable de dichos procedimientos, y en caso de aplicar, señale el nivel de bioseguridad del laboratorio (1, 2, 3, N/A).</w:t>
      </w:r>
    </w:p>
    <w:p w14:paraId="00BF2BBA" w14:textId="77777777" w:rsidR="00742C97" w:rsidRPr="00742C97" w:rsidRDefault="00742C97" w:rsidP="00742C97">
      <w:pPr>
        <w:jc w:val="both"/>
        <w:rPr>
          <w:rFonts w:asciiTheme="minorHAnsi" w:hAnsiTheme="minorHAnsi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FC115D" w14:paraId="10592480" w14:textId="77777777" w:rsidTr="003A17A4">
        <w:tc>
          <w:tcPr>
            <w:tcW w:w="3402" w:type="dxa"/>
            <w:shd w:val="clear" w:color="auto" w:fill="E7E6E6" w:themeFill="background2"/>
          </w:tcPr>
          <w:p w14:paraId="5217F2E0" w14:textId="0FC12520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Facultad</w:t>
            </w:r>
          </w:p>
        </w:tc>
        <w:tc>
          <w:tcPr>
            <w:tcW w:w="6803" w:type="dxa"/>
          </w:tcPr>
          <w:p w14:paraId="7BCD5C41" w14:textId="7E2027BF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Facultad de Ingeniería</w:t>
            </w:r>
          </w:p>
        </w:tc>
      </w:tr>
      <w:tr w:rsidR="00FC115D" w14:paraId="29AF164A" w14:textId="77777777" w:rsidTr="003A17A4">
        <w:tc>
          <w:tcPr>
            <w:tcW w:w="3402" w:type="dxa"/>
            <w:shd w:val="clear" w:color="auto" w:fill="E7E6E6" w:themeFill="background2"/>
          </w:tcPr>
          <w:p w14:paraId="46D9F1C8" w14:textId="7FBA0407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Laboratorio</w:t>
            </w:r>
          </w:p>
        </w:tc>
        <w:tc>
          <w:tcPr>
            <w:tcW w:w="6803" w:type="dxa"/>
          </w:tcPr>
          <w:p w14:paraId="321D50BC" w14:textId="32A1C8DE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Centro de AstroIngeniería UC (AIUC) – Campus San Joaquín</w:t>
            </w:r>
          </w:p>
        </w:tc>
      </w:tr>
      <w:tr w:rsidR="00FC115D" w14:paraId="5955A2B0" w14:textId="77777777" w:rsidTr="003A17A4">
        <w:tc>
          <w:tcPr>
            <w:tcW w:w="3402" w:type="dxa"/>
            <w:shd w:val="clear" w:color="auto" w:fill="E7E6E6" w:themeFill="background2"/>
          </w:tcPr>
          <w:p w14:paraId="3CF6CE21" w14:textId="459AA8FE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Académico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 xml:space="preserve"> Responsable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</w:p>
        </w:tc>
        <w:tc>
          <w:tcPr>
            <w:tcW w:w="6803" w:type="dxa"/>
          </w:tcPr>
          <w:p w14:paraId="634E9922" w14:textId="3AC394F3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Marilyn Cruces</w:t>
            </w:r>
          </w:p>
        </w:tc>
      </w:tr>
      <w:tr w:rsidR="00FC115D" w14:paraId="5A4121F9" w14:textId="77777777" w:rsidTr="003A17A4">
        <w:tc>
          <w:tcPr>
            <w:tcW w:w="3402" w:type="dxa"/>
            <w:shd w:val="clear" w:color="auto" w:fill="E7E6E6" w:themeFill="background2"/>
          </w:tcPr>
          <w:p w14:paraId="454F2503" w14:textId="1A1B9214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Nivel de Bioseguridad</w:t>
            </w:r>
          </w:p>
        </w:tc>
        <w:tc>
          <w:tcPr>
            <w:tcW w:w="6803" w:type="dxa"/>
          </w:tcPr>
          <w:p w14:paraId="084BAD39" w14:textId="7C35F3E2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N/A (no se manipulan agentes biológicos)</w:t>
            </w:r>
          </w:p>
        </w:tc>
      </w:tr>
    </w:tbl>
    <w:p w14:paraId="5A7876B2" w14:textId="77777777" w:rsidR="00A46F51" w:rsidRDefault="00A46F51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6876C253" w14:textId="7E54A8AB" w:rsidR="00742C97" w:rsidRDefault="00742C9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3D670D">
        <w:rPr>
          <w:rFonts w:ascii="Calibri" w:hAnsi="Calibri" w:cs="Calibri"/>
          <w:b/>
          <w:sz w:val="20"/>
          <w:szCs w:val="20"/>
        </w:rPr>
        <w:t>Tabla 2. Procedimiento</w:t>
      </w:r>
      <w:r w:rsidR="003A17A4">
        <w:rPr>
          <w:rFonts w:ascii="Calibri" w:hAnsi="Calibri" w:cs="Calibri"/>
          <w:b/>
          <w:sz w:val="20"/>
          <w:szCs w:val="20"/>
        </w:rPr>
        <w:t xml:space="preserve"> a realizar</w:t>
      </w:r>
      <w:r w:rsidRPr="003D670D">
        <w:rPr>
          <w:rFonts w:ascii="Calibri" w:hAnsi="Calibri" w:cs="Calibri"/>
          <w:b/>
          <w:sz w:val="20"/>
          <w:szCs w:val="20"/>
        </w:rPr>
        <w:t>.</w:t>
      </w:r>
      <w:r>
        <w:rPr>
          <w:rFonts w:ascii="Calibri" w:hAnsi="Calibri" w:cs="Calibri"/>
          <w:sz w:val="20"/>
          <w:szCs w:val="20"/>
        </w:rPr>
        <w:t xml:space="preserve"> </w:t>
      </w:r>
      <w:r w:rsidR="003A17A4">
        <w:rPr>
          <w:rFonts w:ascii="Calibri" w:hAnsi="Calibri" w:cs="Calibri"/>
          <w:sz w:val="20"/>
          <w:szCs w:val="20"/>
        </w:rPr>
        <w:t>En la siguiente tabla, indique el nombre del procedimiento, la descripción, factores de riesgo que identifique, en qué área del laboratorio se realizará el procedimiento y elementos de protección personal (EPP) que se deben utilizar.</w:t>
      </w:r>
    </w:p>
    <w:p w14:paraId="3FE3365C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39E0C99E" w14:textId="77777777" w:rsidTr="003A17A4">
        <w:tc>
          <w:tcPr>
            <w:tcW w:w="3402" w:type="dxa"/>
            <w:shd w:val="clear" w:color="auto" w:fill="E7E6E6" w:themeFill="background2"/>
          </w:tcPr>
          <w:p w14:paraId="5DBE2D3A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Nombre del p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rocedimiento</w:t>
            </w:r>
          </w:p>
        </w:tc>
        <w:tc>
          <w:tcPr>
            <w:tcW w:w="6803" w:type="dxa"/>
          </w:tcPr>
          <w:p w14:paraId="63D9E987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PTS-02 · Aplicación de pintura conductiva de grafito coloidal con aerógrafo y verificación de continuidad</w:t>
            </w:r>
          </w:p>
        </w:tc>
      </w:tr>
    </w:tbl>
    <w:p w14:paraId="108CAAC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224C2C8C" w14:textId="77777777" w:rsidTr="003A17A4">
        <w:trPr>
          <w:trHeight w:val="1701"/>
        </w:trPr>
        <w:tc>
          <w:tcPr>
            <w:tcW w:w="3402" w:type="dxa"/>
            <w:shd w:val="clear" w:color="auto" w:fill="E7E6E6" w:themeFill="background2"/>
            <w:vAlign w:val="center"/>
          </w:tcPr>
          <w:p w14:paraId="716FBC14" w14:textId="77777777" w:rsidR="003A17A4" w:rsidRPr="00FC115D" w:rsidRDefault="003A17A4" w:rsidP="003A17A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Descripción de la actividad a realizar</w:t>
            </w:r>
          </w:p>
        </w:tc>
        <w:tc>
          <w:tcPr>
            <w:tcW w:w="6803" w:type="dxa"/>
          </w:tcPr>
          <w:p w14:paraId="668F4B64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40"/>
              <w:ind w:left="0" w:firstLin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Antes del procedimiento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Confirmar que la pieza fue preparada según PTS-01 y que no quedan restos de solvente (superficie limpia, seca y sin polvo).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Revisar la etiqueta y la FDS de la pintura de grafito (</w:t>
            </w:r>
            <w:r>
              <w:rPr>
                <w:rFonts w:ascii="Calibri" w:hAnsi="Calibri"/>
                <w:b/>
                <w:i w:val="0"/>
                <w:sz w:val="19"/>
              </w:rPr>
              <w:t>FDS pendiente de incorporar al inventario</w:t>
            </w:r>
            <w:r>
              <w:rPr>
                <w:rFonts w:ascii="Calibri" w:hAnsi="Calibri"/>
                <w:b w:val="0"/>
                <w:i w:val="0"/>
                <w:sz w:val="19"/>
              </w:rPr>
              <w:t>). Mientras no se disponga de ella, tratarla como mezcla con solvente inflamable y partículas respirables.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Encender la campana o extracción localizada y retirar fuentes de ignición del área.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Revisar el aerógrafo, manguera y compresor: conexiones firmes, sin fugas, y presión de trabajo según el fabricante del aerógrafo.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Cubrir el mesón con papel o film protector y colocarse el EPP.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Protocolo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1.</w:t>
              <w:tab/>
              <w:t>Agitar el envase de pintura enérgicamente al menos 30 s, hasta escuchar la bolilla metálica moverse libremente. Mantener el envase cerrado mientras se agita.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2.</w:t>
              <w:tab/>
              <w:t xml:space="preserve">Diluir la pintura con </w:t>
            </w:r>
            <w:r>
              <w:rPr>
                <w:rFonts w:ascii="Calibri" w:hAnsi="Calibri"/>
                <w:b/>
                <w:i w:val="0"/>
                <w:sz w:val="19"/>
              </w:rPr>
              <w:t>alcohol isopropílico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en proporción aproximada 1:2 (una parte de pintura por dos de IPA) en un vaso rotulado, y cargar el depósito del aerógrafo. Preparar solo la cantidad necesaria.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3.</w:t>
              <w:tab/>
              <w:t xml:space="preserve">Aplicar una </w:t>
            </w:r>
            <w:r>
              <w:rPr>
                <w:rFonts w:ascii="Calibri" w:hAnsi="Calibri"/>
                <w:b/>
                <w:i w:val="0"/>
                <w:sz w:val="19"/>
              </w:rPr>
              <w:t>primera capa fina y pareja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sobre toda la pieza, pulverizando siempre en dirección contraria a las personas y hacia el interior de la campana.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4.</w:t>
              <w:tab/>
              <w:t>Dejar secar al aire entre 5 y 15 min, hasta obtener brillo mate uniforme y que no transfiera pigmento al tacto (tocar con guante).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5.</w:t>
              <w:tab/>
              <w:t xml:space="preserve">Aplicar una </w:t>
            </w:r>
            <w:r>
              <w:rPr>
                <w:rFonts w:ascii="Calibri" w:hAnsi="Calibri"/>
                <w:b/>
                <w:i w:val="0"/>
                <w:sz w:val="19"/>
              </w:rPr>
              <w:t>segunda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y luego una </w:t>
            </w:r>
            <w:r>
              <w:rPr>
                <w:rFonts w:ascii="Calibri" w:hAnsi="Calibri"/>
                <w:b/>
                <w:i w:val="0"/>
                <w:sz w:val="19"/>
              </w:rPr>
              <w:t>tercera capa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fina, repitiendo los pasos 3 y 4.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6.</w:t>
              <w:tab/>
              <w:t>Con la última capa seca, pulir la superficie con el paño para pulir hasta eliminar el polvo de grafito suelto y obtener un acabado brillante. Realizar el pulido bajo extracción para no dispersar el polvo.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7.</w:t>
              <w:tab/>
              <w:t>Verificar la continuidad eléctrica con el multímetro entre puntos distantes de la pieza (resistencia baja y consistente).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Posterior al procedimiento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Limpiar el aerógrafo pulverizando IPA limpio dentro de la campana, recogiendo el líquido en un vaso. Este líquido va al bidón de «Residuos de solventes orgánicos no halogenados».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Paños, papel protector y guantes con grafito: recipiente con tapa de residuos sólidos contaminados.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Cerrar la pintura y el IPA y devolverlos al almacenamiento de inflamables.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Apagar y despresurizar el compresor; limpiar el mesón con paño húmedo (no barrer el polvo en seco) y lavarse las manos.</w:t>
            </w:r>
          </w:p>
        </w:tc>
      </w:tr>
    </w:tbl>
    <w:p w14:paraId="5221B027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5BC01E94" w14:textId="77777777" w:rsidTr="003A17A4">
        <w:tc>
          <w:tcPr>
            <w:tcW w:w="3402" w:type="dxa"/>
            <w:shd w:val="clear" w:color="auto" w:fill="E7E6E6" w:themeFill="background2"/>
          </w:tcPr>
          <w:p w14:paraId="30713E5F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Factores de riesgo</w:t>
            </w:r>
          </w:p>
        </w:tc>
        <w:tc>
          <w:tcPr>
            <w:tcW w:w="6803" w:type="dxa"/>
          </w:tcPr>
          <w:p w14:paraId="03728760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30"/>
              <w:ind w:left="369" w:hanging="255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</w:r>
            <w:r>
              <w:rPr>
                <w:rFonts w:ascii="Calibri" w:hAnsi="Calibri"/>
                <w:b/>
                <w:i w:val="0"/>
                <w:sz w:val="19"/>
              </w:rPr>
              <w:t>Pintura conductiva de grafito</w:t>
            </w:r>
            <w:r>
              <w:rPr>
                <w:rFonts w:ascii="Calibri" w:hAnsi="Calibri"/>
                <w:b w:val="0"/>
                <w:i w:val="0"/>
                <w:sz w:val="19"/>
              </w:rPr>
              <w:t>: partículas finas de grafito en suspensión con solvente/aglutinante; riesgo por inhalación de aerosol y posible inflamabilidad (confirmar con FDS del fabricante).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</w:r>
            <w:r>
              <w:rPr>
                <w:rFonts w:ascii="Calibri" w:hAnsi="Calibri"/>
                <w:b/>
                <w:i w:val="0"/>
                <w:sz w:val="19"/>
              </w:rPr>
              <w:t>Alcohol isopropílico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(UN 1219, clase 3): muy inflamable (T. inflamación 12 °C); irritación ocular; somnolencia/vértigo. La pulverización aumenta la concentración de vapores inflamables.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Equipo a presión (compresor y manguera): desacople o rotura de manguera, proyección de pintura a los ojos.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Polvo de grafito durante el pulido (irritante respiratorio y conductor eléctrico: mantener lejos de equipos energizados).</w:t>
            </w:r>
          </w:p>
        </w:tc>
      </w:tr>
      <w:tr w:rsidR="003A17A4" w14:paraId="76229ADA" w14:textId="77777777" w:rsidTr="003A17A4">
        <w:tc>
          <w:tcPr>
            <w:tcW w:w="3402" w:type="dxa"/>
            <w:shd w:val="clear" w:color="auto" w:fill="E7E6E6" w:themeFill="background2"/>
          </w:tcPr>
          <w:p w14:paraId="7461F026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Zona de trabajo</w:t>
            </w:r>
          </w:p>
        </w:tc>
        <w:tc>
          <w:tcPr>
            <w:tcW w:w="6803" w:type="dxa"/>
          </w:tcPr>
          <w:p w14:paraId="6C46E095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30"/>
              <w:ind w:left="369" w:hanging="255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 xml:space="preserve">Pasos 2 a 6 y limpieza del aerógrafo: </w:t>
            </w:r>
            <w:r>
              <w:rPr>
                <w:rFonts w:ascii="Calibri" w:hAnsi="Calibri"/>
                <w:b/>
                <w:i w:val="0"/>
                <w:sz w:val="19"/>
              </w:rPr>
              <w:t>bajo campana de extracción o cabina con extracción</w:t>
            </w:r>
            <w:r>
              <w:rPr>
                <w:rFonts w:ascii="Calibri" w:hAnsi="Calibri"/>
                <w:b w:val="0"/>
                <w:i w:val="0"/>
                <w:sz w:val="19"/>
              </w:rPr>
              <w:t>, lejos de fuentes de ignición.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Paso 1 y 7: mesón de trabajo.</w:t>
            </w:r>
          </w:p>
        </w:tc>
      </w:tr>
    </w:tbl>
    <w:p w14:paraId="7717F885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3A17A4" w14:paraId="23741103" w14:textId="77777777" w:rsidTr="003A17A4">
        <w:tc>
          <w:tcPr>
            <w:tcW w:w="5102" w:type="dxa"/>
            <w:shd w:val="clear" w:color="auto" w:fill="E7E6E6" w:themeFill="background2"/>
          </w:tcPr>
          <w:p w14:paraId="0D365DAF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Elementos de protección personal necesarios</w:t>
            </w:r>
          </w:p>
        </w:tc>
        <w:tc>
          <w:tcPr>
            <w:tcW w:w="5102" w:type="dxa"/>
            <w:shd w:val="clear" w:color="auto" w:fill="E7E6E6" w:themeFill="background2"/>
          </w:tcPr>
          <w:p w14:paraId="79B4AD94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Observaciones</w:t>
            </w:r>
          </w:p>
        </w:tc>
      </w:tr>
      <w:tr w:rsidR="003A17A4" w14:paraId="33838382" w14:textId="77777777" w:rsidTr="003A17A4">
        <w:tc>
          <w:tcPr>
            <w:tcW w:w="5102" w:type="dxa"/>
          </w:tcPr>
          <w:p w14:paraId="36BD5883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Delantal o bata de laboratorio manga larga</w:t>
            </w:r>
          </w:p>
        </w:tc>
        <w:tc>
          <w:tcPr>
            <w:tcW w:w="5102" w:type="dxa"/>
          </w:tcPr>
          <w:p w14:paraId="18F96AD1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durante todo el procedimiento</w:t>
            </w:r>
          </w:p>
        </w:tc>
      </w:tr>
      <w:tr w:rsidR="003A17A4" w14:paraId="5BEC0E11" w14:textId="77777777" w:rsidTr="003A17A4">
        <w:tc>
          <w:tcPr>
            <w:tcW w:w="5102" w:type="dxa"/>
          </w:tcPr>
          <w:p w14:paraId="5758D2D0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Gafas de seguridad con protección lateral</w:t>
            </w:r>
          </w:p>
        </w:tc>
        <w:tc>
          <w:tcPr>
            <w:tcW w:w="5102" w:type="dxa"/>
          </w:tcPr>
          <w:p w14:paraId="059C656F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durante todo el procedimiento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Guantes de nitrilo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durante todo el procedimiento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Respirador media cara con filtros combinados para vapores orgánicos y partículas (A1P2 o superior)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durante la aplicación con aerógrafo y el pulido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Calzado cerrado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en el laboratorio</w:t>
            </w:r>
          </w:p>
        </w:tc>
      </w:tr>
    </w:tbl>
    <w:p w14:paraId="752021B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412F50CD" w14:textId="77777777" w:rsidR="009B2DB7" w:rsidRPr="00DB538A" w:rsidRDefault="009B2DB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>
      <w:pPr>
        <w:spacing w:before="160" w:after="40"/>
      </w:pPr>
      <w:r>
        <w:rPr>
          <w:rFonts w:ascii="Calibri" w:hAnsi="Calibri"/>
          <w:b/>
          <w:i w:val="0"/>
          <w:sz w:val="20"/>
        </w:rPr>
        <w:t>Documentos de referencia:</w:t>
      </w:r>
    </w:p>
    <w:p>
      <w:pPr>
        <w:spacing w:after="20"/>
        <w:ind w:left="255" w:hanging="255"/>
      </w:pPr>
      <w:r>
        <w:rPr>
          <w:rFonts w:ascii="Calibri" w:hAnsi="Calibri"/>
          <w:b w:val="0"/>
          <w:i w:val="0"/>
          <w:sz w:val="18"/>
        </w:rPr>
        <w:t>- FDS Alcohol Isopropílico (Científica). FDS de la pintura de grafito: pendiente, solicitar al proveedor.</w:t>
      </w:r>
    </w:p>
    <w:p>
      <w:pPr>
        <w:spacing w:after="20"/>
        <w:ind w:left="255" w:hanging="255"/>
      </w:pPr>
      <w:r>
        <w:rPr>
          <w:rFonts w:ascii="Calibri" w:hAnsi="Calibri"/>
          <w:b w:val="0"/>
          <w:i w:val="0"/>
          <w:sz w:val="18"/>
        </w:rPr>
        <w:t>- Guía de Metalizado de Cobre sobre Pieza de Resina (Paso 2).</w:t>
      </w:r>
    </w:p>
    <w:p>
      <w:pPr>
        <w:spacing w:after="20"/>
        <w:ind w:left="255" w:hanging="255"/>
      </w:pPr>
      <w:r>
        <w:rPr>
          <w:rFonts w:ascii="Calibri" w:hAnsi="Calibri"/>
          <w:b w:val="0"/>
          <w:i w:val="0"/>
          <w:sz w:val="18"/>
        </w:rPr>
        <w:t>- Protocolo general de manejo de químicos AIUC; PTS-01.</w:t>
      </w:r>
    </w:p>
    <w:p w14:paraId="65932AA4" w14:textId="5EF9E632" w:rsidR="00F92D6B" w:rsidRPr="009767C2" w:rsidRDefault="00FC115D" w:rsidP="00F92D6B">
      <w:pPr>
        <w:spacing w:before="200"/>
        <w:rPr>
          <w:rFonts w:ascii="Calibri" w:hAnsi="Calibri" w:cs="Calibri"/>
          <w:b/>
          <w:color w:val="000000" w:themeColor="text1"/>
        </w:rPr>
      </w:pPr>
      <w:r w:rsidRPr="009767C2">
        <w:rPr>
          <w:rFonts w:ascii="Calibri" w:hAnsi="Calibri" w:cs="Calibri"/>
          <w:b/>
          <w:color w:val="000000" w:themeColor="text1"/>
          <w:sz w:val="20"/>
          <w:szCs w:val="20"/>
        </w:rPr>
        <w:t>Responsables:</w:t>
      </w:r>
    </w:p>
    <w:p w14:paraId="59D7C093" w14:textId="77777777" w:rsidR="001C7666" w:rsidRPr="00DB538A" w:rsidRDefault="001C7666" w:rsidP="00F92D6B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115D" w:rsidRPr="00FC115D" w14:paraId="1A59555E" w14:textId="77777777" w:rsidTr="00FC115D">
        <w:tc>
          <w:tcPr>
            <w:tcW w:w="4814" w:type="dxa"/>
          </w:tcPr>
          <w:p w14:paraId="3655A539" w14:textId="585287F1" w:rsidR="00FC115D" w:rsidRP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Elaborado por: Nicolás Seguel Ardiles</w:t>
            </w:r>
          </w:p>
        </w:tc>
        <w:tc>
          <w:tcPr>
            <w:tcW w:w="4814" w:type="dxa"/>
          </w:tcPr>
          <w:p w14:paraId="5CDE4CB2" w14:textId="77777777" w:rsid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Revisado por:</w:t>
            </w:r>
          </w:p>
        </w:tc>
      </w:tr>
      <w:tr w:rsidR="00FC115D" w:rsidRPr="00FC115D" w14:paraId="2EB25C58" w14:textId="77777777" w:rsidTr="00FC115D">
        <w:tc>
          <w:tcPr>
            <w:tcW w:w="4814" w:type="dxa"/>
          </w:tcPr>
          <w:p w14:paraId="702CAD78" w14:textId="71360EFA" w:rsidR="00FC115D" w:rsidRP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Fecha: 30/09/2026</w:t>
            </w:r>
          </w:p>
        </w:tc>
        <w:tc>
          <w:tcPr>
            <w:tcW w:w="4814" w:type="dxa"/>
          </w:tcPr>
          <w:p w14:paraId="7D07C8E1" w14:textId="63CA2445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Fecha:</w:t>
            </w:r>
          </w:p>
        </w:tc>
      </w:tr>
      <w:tr w:rsidR="00FC115D" w:rsidRPr="00FC115D" w14:paraId="4A37C377" w14:textId="77777777" w:rsidTr="00FC115D">
        <w:tc>
          <w:tcPr>
            <w:tcW w:w="4814" w:type="dxa"/>
          </w:tcPr>
          <w:p w14:paraId="57313C81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  <w:p w14:paraId="16EAF3A9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  <w:p w14:paraId="0B8D7882" w14:textId="41E97246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4814" w:type="dxa"/>
          </w:tcPr>
          <w:p w14:paraId="4D54D337" w14:textId="5CFCA81C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</w:tc>
      </w:tr>
    </w:tbl>
    <w:p w14:paraId="7E9F05A0" w14:textId="77777777" w:rsidR="00172A0F" w:rsidRPr="00E00575" w:rsidRDefault="00172A0F" w:rsidP="00172A0F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sectPr w:rsidR="00172A0F" w:rsidRPr="00E00575" w:rsidSect="003A17A4">
      <w:headerReference w:type="default" r:id="rId8"/>
      <w:pgSz w:w="12240" w:h="15840"/>
      <w:pgMar w:top="1548" w:right="720" w:bottom="720" w:left="72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0665" w14:textId="77777777" w:rsidR="009E7288" w:rsidRDefault="009E7288">
      <w:r>
        <w:separator/>
      </w:r>
    </w:p>
  </w:endnote>
  <w:endnote w:type="continuationSeparator" w:id="0">
    <w:p w14:paraId="6D6764C3" w14:textId="77777777" w:rsidR="009E7288" w:rsidRDefault="009E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A261E" w14:textId="77777777" w:rsidR="009E7288" w:rsidRDefault="009E7288">
      <w:r>
        <w:separator/>
      </w:r>
    </w:p>
  </w:footnote>
  <w:footnote w:type="continuationSeparator" w:id="0">
    <w:p w14:paraId="46BAAEDB" w14:textId="77777777" w:rsidR="009E7288" w:rsidRDefault="009E7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6658E" w14:textId="1476B338" w:rsidR="00CD0188" w:rsidRDefault="00CD0188" w:rsidP="00CD0188"/>
  <w:p w14:paraId="73742571" w14:textId="408B5ECF" w:rsidR="00CD0188" w:rsidRPr="00CD0188" w:rsidRDefault="00CD0188" w:rsidP="00CD0188"/>
  <w:tbl>
    <w:tblPr>
      <w:tblStyle w:val="Tablaconcuadrcula"/>
      <w:tblpPr w:leftFromText="141" w:rightFromText="141" w:horzAnchor="margin" w:tblpXSpec="center" w:tblpY="-600"/>
      <w:tblW w:w="10145" w:type="dxa"/>
      <w:tblBorders>
        <w:top w:val="double" w:sz="4" w:space="0" w:color="808080" w:themeColor="background1" w:themeShade="80"/>
        <w:left w:val="double" w:sz="4" w:space="0" w:color="808080" w:themeColor="background1" w:themeShade="80"/>
        <w:bottom w:val="double" w:sz="4" w:space="0" w:color="808080" w:themeColor="background1" w:themeShade="80"/>
        <w:right w:val="double" w:sz="4" w:space="0" w:color="808080" w:themeColor="background1" w:themeShade="80"/>
        <w:insideH w:val="double" w:sz="4" w:space="0" w:color="808080" w:themeColor="background1" w:themeShade="80"/>
        <w:insideV w:val="doub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52"/>
      <w:gridCol w:w="4513"/>
      <w:gridCol w:w="2080"/>
    </w:tblGrid>
    <w:tr w:rsidR="003A17A4" w:rsidRPr="00693EC4" w14:paraId="675D7CA4" w14:textId="77777777" w:rsidTr="00BA2F26">
      <w:trPr>
        <w:trHeight w:val="762"/>
      </w:trPr>
      <w:tc>
        <w:tcPr>
          <w:tcW w:w="3552" w:type="dxa"/>
        </w:tcPr>
        <w:p w14:paraId="68AA2104" w14:textId="77777777" w:rsidR="003A17A4" w:rsidRPr="00693EC4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</w:rPr>
          </w:pP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60288" behindDoc="0" locked="0" layoutInCell="1" allowOverlap="1" wp14:anchorId="08839931" wp14:editId="3B9898B6">
                <wp:simplePos x="0" y="0"/>
                <wp:positionH relativeFrom="column">
                  <wp:posOffset>958215</wp:posOffset>
                </wp:positionH>
                <wp:positionV relativeFrom="page">
                  <wp:posOffset>128891</wp:posOffset>
                </wp:positionV>
                <wp:extent cx="1188720" cy="416560"/>
                <wp:effectExtent l="0" t="0" r="5080" b="2540"/>
                <wp:wrapSquare wrapText="bothSides"/>
                <wp:docPr id="3" name="Imagen 3" descr="Banner 800x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anner 800x20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314" r="1834"/>
                        <a:stretch/>
                      </pic:blipFill>
                      <pic:spPr bwMode="auto">
                        <a:xfrm>
                          <a:off x="0" y="0"/>
                          <a:ext cx="118872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59264" behindDoc="1" locked="0" layoutInCell="1" allowOverlap="1" wp14:anchorId="68274286" wp14:editId="453008AA">
                <wp:simplePos x="0" y="0"/>
                <wp:positionH relativeFrom="column">
                  <wp:posOffset>-21591</wp:posOffset>
                </wp:positionH>
                <wp:positionV relativeFrom="page">
                  <wp:posOffset>32580</wp:posOffset>
                </wp:positionV>
                <wp:extent cx="981075" cy="553525"/>
                <wp:effectExtent l="0" t="0" r="0" b="0"/>
                <wp:wrapNone/>
                <wp:docPr id="4" name="Imagen 4" descr="UC lineal-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UC lineal-02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25" t="4688" b="6185"/>
                        <a:stretch/>
                      </pic:blipFill>
                      <pic:spPr bwMode="auto">
                        <a:xfrm>
                          <a:off x="0" y="0"/>
                          <a:ext cx="983418" cy="5548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13" w:type="dxa"/>
          <w:vAlign w:val="center"/>
        </w:tcPr>
        <w:p w14:paraId="61C195AE" w14:textId="65C89A81" w:rsidR="003A17A4" w:rsidRPr="00556385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</w:pPr>
          <w:r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  <w:t>PROCEDIMIENTO DE TRABAJO SEGURO</w:t>
          </w:r>
        </w:p>
      </w:tc>
      <w:tc>
        <w:tcPr>
          <w:tcW w:w="2080" w:type="dxa"/>
          <w:vAlign w:val="center"/>
        </w:tcPr>
        <w:p w14:paraId="5A981E62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Versión: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</w:p>
        <w:p w14:paraId="18D27E34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Fecha: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30/09/2026</w:t>
          </w:r>
        </w:p>
        <w:p w14:paraId="5E405A3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>Elaborado: Nicolás Seguel A.</w:t>
          </w:r>
        </w:p>
        <w:p w14:paraId="65D2F60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Revisado: </w:t>
          </w:r>
        </w:p>
        <w:p w14:paraId="693668C0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Página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PAGE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 de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NUMPAGES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</w:p>
      </w:tc>
    </w:tr>
  </w:tbl>
  <w:p w14:paraId="28C27697" w14:textId="7C0F9F0D" w:rsidR="001C7666" w:rsidRPr="001C7666" w:rsidRDefault="001C7666" w:rsidP="003A17A4">
    <w:pPr>
      <w:spacing w:after="60" w:line="276" w:lineRule="auto"/>
      <w:ind w:right="418"/>
      <w:rPr>
        <w:rFonts w:ascii="Calibri" w:eastAsia="Yu Gothic UI" w:hAnsi="Calibri" w:cs="Arial"/>
        <w:b/>
        <w:color w:val="8496B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37D6"/>
    <w:multiLevelType w:val="hybridMultilevel"/>
    <w:tmpl w:val="6C160D72"/>
    <w:lvl w:ilvl="0" w:tplc="A62EC59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50202FA">
      <w:start w:val="2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64C81"/>
    <w:multiLevelType w:val="multilevel"/>
    <w:tmpl w:val="24DC5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A9B266C"/>
    <w:multiLevelType w:val="hybridMultilevel"/>
    <w:tmpl w:val="C65C4F48"/>
    <w:lvl w:ilvl="0" w:tplc="CB54FF1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213A7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3C83ED9"/>
    <w:multiLevelType w:val="hybridMultilevel"/>
    <w:tmpl w:val="39AE3B0E"/>
    <w:lvl w:ilvl="0" w:tplc="A776D4B2">
      <w:start w:val="5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48FC3B68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02660B"/>
    <w:multiLevelType w:val="multilevel"/>
    <w:tmpl w:val="1E32CE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BA437C8"/>
    <w:multiLevelType w:val="hybridMultilevel"/>
    <w:tmpl w:val="9CA054B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003866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color w:val="auto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616DDF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434519801">
    <w:abstractNumId w:val="8"/>
  </w:num>
  <w:num w:numId="2" w16cid:durableId="1419405445">
    <w:abstractNumId w:val="7"/>
  </w:num>
  <w:num w:numId="3" w16cid:durableId="473445384">
    <w:abstractNumId w:val="4"/>
  </w:num>
  <w:num w:numId="4" w16cid:durableId="1028800096">
    <w:abstractNumId w:val="0"/>
  </w:num>
  <w:num w:numId="5" w16cid:durableId="1466004534">
    <w:abstractNumId w:val="3"/>
  </w:num>
  <w:num w:numId="6" w16cid:durableId="574314422">
    <w:abstractNumId w:val="6"/>
  </w:num>
  <w:num w:numId="7" w16cid:durableId="1705056673">
    <w:abstractNumId w:val="1"/>
  </w:num>
  <w:num w:numId="8" w16cid:durableId="266039772">
    <w:abstractNumId w:val="2"/>
  </w:num>
  <w:num w:numId="9" w16cid:durableId="776291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9B"/>
    <w:rsid w:val="00021547"/>
    <w:rsid w:val="00072A5A"/>
    <w:rsid w:val="000A3505"/>
    <w:rsid w:val="000B72D8"/>
    <w:rsid w:val="00172A0F"/>
    <w:rsid w:val="00185051"/>
    <w:rsid w:val="001C5A5B"/>
    <w:rsid w:val="001C7666"/>
    <w:rsid w:val="001E2753"/>
    <w:rsid w:val="001F03C9"/>
    <w:rsid w:val="0021104A"/>
    <w:rsid w:val="00272078"/>
    <w:rsid w:val="002903E2"/>
    <w:rsid w:val="002D7E6D"/>
    <w:rsid w:val="002E7726"/>
    <w:rsid w:val="00330A46"/>
    <w:rsid w:val="00332464"/>
    <w:rsid w:val="00342272"/>
    <w:rsid w:val="003A17A4"/>
    <w:rsid w:val="003B5FBE"/>
    <w:rsid w:val="003B70F4"/>
    <w:rsid w:val="003D670D"/>
    <w:rsid w:val="003D6CE9"/>
    <w:rsid w:val="00403765"/>
    <w:rsid w:val="004556DF"/>
    <w:rsid w:val="00487546"/>
    <w:rsid w:val="004B2C76"/>
    <w:rsid w:val="004B3787"/>
    <w:rsid w:val="004D0F88"/>
    <w:rsid w:val="004D447C"/>
    <w:rsid w:val="004F0B2C"/>
    <w:rsid w:val="00592403"/>
    <w:rsid w:val="006250CD"/>
    <w:rsid w:val="00625E9B"/>
    <w:rsid w:val="00655447"/>
    <w:rsid w:val="00694D38"/>
    <w:rsid w:val="006F0422"/>
    <w:rsid w:val="006F5274"/>
    <w:rsid w:val="00742C97"/>
    <w:rsid w:val="007E27D8"/>
    <w:rsid w:val="00804309"/>
    <w:rsid w:val="00862863"/>
    <w:rsid w:val="008764E3"/>
    <w:rsid w:val="00975833"/>
    <w:rsid w:val="009767C2"/>
    <w:rsid w:val="0099206F"/>
    <w:rsid w:val="009B2DB7"/>
    <w:rsid w:val="009C0822"/>
    <w:rsid w:val="009E7288"/>
    <w:rsid w:val="009F65E7"/>
    <w:rsid w:val="00A46F51"/>
    <w:rsid w:val="00A55BF5"/>
    <w:rsid w:val="00A8403A"/>
    <w:rsid w:val="00B241FD"/>
    <w:rsid w:val="00BD4147"/>
    <w:rsid w:val="00C45FF3"/>
    <w:rsid w:val="00C925F6"/>
    <w:rsid w:val="00C943CC"/>
    <w:rsid w:val="00CD0188"/>
    <w:rsid w:val="00CD7FA6"/>
    <w:rsid w:val="00D053C8"/>
    <w:rsid w:val="00D42642"/>
    <w:rsid w:val="00DB538A"/>
    <w:rsid w:val="00E00575"/>
    <w:rsid w:val="00E1444B"/>
    <w:rsid w:val="00E42060"/>
    <w:rsid w:val="00E44E53"/>
    <w:rsid w:val="00E50C3A"/>
    <w:rsid w:val="00EB7981"/>
    <w:rsid w:val="00EE3FBC"/>
    <w:rsid w:val="00F174FF"/>
    <w:rsid w:val="00F51BEE"/>
    <w:rsid w:val="00F9075A"/>
    <w:rsid w:val="00F92D6B"/>
    <w:rsid w:val="00FC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60C8D0"/>
  <w15:chartTrackingRefBased/>
  <w15:docId w15:val="{E93FD549-C8A6-4673-908F-62397DE4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0422"/>
    <w:rPr>
      <w:sz w:val="24"/>
      <w:szCs w:val="24"/>
      <w:lang w:eastAsia="es-ES"/>
    </w:rPr>
  </w:style>
  <w:style w:type="paragraph" w:styleId="Ttulo3">
    <w:name w:val="heading 3"/>
    <w:basedOn w:val="Normal"/>
    <w:next w:val="Normal"/>
    <w:qFormat/>
    <w:rsid w:val="006F0422"/>
    <w:pPr>
      <w:keepNext/>
      <w:spacing w:line="360" w:lineRule="atLeast"/>
      <w:ind w:left="708" w:hanging="708"/>
      <w:jc w:val="both"/>
      <w:outlineLvl w:val="2"/>
    </w:pPr>
    <w:rPr>
      <w:szCs w:val="20"/>
      <w:lang w:val="es-ES"/>
    </w:rPr>
  </w:style>
  <w:style w:type="paragraph" w:styleId="Ttulo4">
    <w:name w:val="heading 4"/>
    <w:basedOn w:val="Normal"/>
    <w:next w:val="Normal"/>
    <w:qFormat/>
    <w:rsid w:val="006F042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6F0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6F042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F0422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A55BF5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403765"/>
    <w:rPr>
      <w:sz w:val="16"/>
      <w:szCs w:val="16"/>
    </w:rPr>
  </w:style>
  <w:style w:type="paragraph" w:styleId="Textocomentario">
    <w:name w:val="annotation text"/>
    <w:basedOn w:val="Normal"/>
    <w:semiHidden/>
    <w:rsid w:val="0040376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403765"/>
    <w:rPr>
      <w:b/>
      <w:bCs/>
    </w:rPr>
  </w:style>
  <w:style w:type="character" w:styleId="Hipervnculo">
    <w:name w:val="Hyperlink"/>
    <w:uiPriority w:val="99"/>
    <w:unhideWhenUsed/>
    <w:rsid w:val="00C943CC"/>
    <w:rPr>
      <w:color w:val="0563C1"/>
      <w:u w:val="single"/>
    </w:rPr>
  </w:style>
  <w:style w:type="character" w:customStyle="1" w:styleId="PiedepginaCar">
    <w:name w:val="Pie de página Car"/>
    <w:link w:val="Piedepgina"/>
    <w:uiPriority w:val="99"/>
    <w:rsid w:val="00DB538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E6A1E-DC2B-F74D-B14F-5027CBDD0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 PARA TRABAJOS EN ALTURA FISICA</vt:lpstr>
    </vt:vector>
  </TitlesOfParts>
  <Company>Universidad Catolica de Chile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PARA TRABAJOS EN ALTURA FISICA</dc:title>
  <dc:subject/>
  <dc:creator>Depto de Prevencion Puc</dc:creator>
  <cp:keywords/>
  <dc:description/>
  <cp:lastModifiedBy>Verónica Elisa Arenas Morales</cp:lastModifiedBy>
  <cp:revision>2</cp:revision>
  <cp:lastPrinted>2011-09-05T15:16:00Z</cp:lastPrinted>
  <dcterms:created xsi:type="dcterms:W3CDTF">2023-04-21T16:05:00Z</dcterms:created>
  <dcterms:modified xsi:type="dcterms:W3CDTF">2023-04-21T16:05:00Z</dcterms:modified>
</cp:coreProperties>
</file>