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3413F" w14:textId="50624EC4" w:rsidR="00E50C3A" w:rsidRDefault="00975833" w:rsidP="00742C97">
      <w:pPr>
        <w:jc w:val="both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 xml:space="preserve">El siguiente documento, tiene como objetivo </w:t>
      </w:r>
      <w:r w:rsidR="00E1444B">
        <w:rPr>
          <w:rFonts w:asciiTheme="minorHAnsi" w:hAnsiTheme="minorHAnsi"/>
          <w:sz w:val="20"/>
        </w:rPr>
        <w:t>identificar los</w:t>
      </w:r>
      <w:r>
        <w:rPr>
          <w:rFonts w:asciiTheme="minorHAnsi" w:hAnsiTheme="minorHAnsi"/>
          <w:sz w:val="20"/>
        </w:rPr>
        <w:t xml:space="preserve"> factores de riesgos presentes en los distintos procedimientos que se realizan en </w:t>
      </w:r>
      <w:r w:rsidR="00E1444B">
        <w:rPr>
          <w:rFonts w:asciiTheme="minorHAnsi" w:hAnsiTheme="minorHAnsi"/>
          <w:sz w:val="20"/>
        </w:rPr>
        <w:t>el</w:t>
      </w:r>
      <w:r>
        <w:rPr>
          <w:rFonts w:asciiTheme="minorHAnsi" w:hAnsiTheme="minorHAnsi"/>
          <w:sz w:val="20"/>
        </w:rPr>
        <w:t xml:space="preserve"> </w:t>
      </w:r>
      <w:r w:rsidR="00E1444B">
        <w:rPr>
          <w:rFonts w:asciiTheme="minorHAnsi" w:hAnsiTheme="minorHAnsi"/>
          <w:sz w:val="20"/>
        </w:rPr>
        <w:t>laboratorio</w:t>
      </w:r>
      <w:r w:rsidR="000B72D8">
        <w:rPr>
          <w:rFonts w:asciiTheme="minorHAnsi" w:hAnsiTheme="minorHAnsi"/>
          <w:sz w:val="20"/>
        </w:rPr>
        <w:t xml:space="preserve"> y las medidas de seguridad que se deben implementar para que el trabajo se realice de manera segura.</w:t>
      </w:r>
    </w:p>
    <w:p w14:paraId="5A47F59A" w14:textId="77777777" w:rsidR="00975833" w:rsidRPr="00E50C3A" w:rsidRDefault="00975833" w:rsidP="00742C97">
      <w:pPr>
        <w:jc w:val="both"/>
        <w:rPr>
          <w:rFonts w:asciiTheme="minorHAnsi" w:hAnsiTheme="minorHAnsi"/>
          <w:sz w:val="20"/>
        </w:rPr>
      </w:pPr>
    </w:p>
    <w:p w14:paraId="2F09D47A" w14:textId="3ED5A663" w:rsidR="00742C97" w:rsidRDefault="00742C97" w:rsidP="00742C97">
      <w:pPr>
        <w:jc w:val="both"/>
        <w:rPr>
          <w:rFonts w:asciiTheme="minorHAnsi" w:hAnsiTheme="minorHAnsi"/>
          <w:sz w:val="20"/>
        </w:rPr>
      </w:pPr>
      <w:r w:rsidRPr="00742C97">
        <w:rPr>
          <w:rFonts w:asciiTheme="minorHAnsi" w:hAnsiTheme="minorHAnsi"/>
          <w:b/>
          <w:sz w:val="20"/>
        </w:rPr>
        <w:t>Tabla 1. Identificación del laboratorio.</w:t>
      </w:r>
      <w:r>
        <w:rPr>
          <w:rFonts w:asciiTheme="minorHAnsi" w:hAnsiTheme="minorHAnsi"/>
          <w:sz w:val="20"/>
        </w:rPr>
        <w:t xml:space="preserve"> En la siguiente tabla, complete los antecedentes del laboratorio en el que rea</w:t>
      </w:r>
      <w:r w:rsidR="0099206F">
        <w:rPr>
          <w:rFonts w:asciiTheme="minorHAnsi" w:hAnsiTheme="minorHAnsi"/>
          <w:sz w:val="20"/>
        </w:rPr>
        <w:t>l</w:t>
      </w:r>
      <w:r>
        <w:rPr>
          <w:rFonts w:asciiTheme="minorHAnsi" w:hAnsiTheme="minorHAnsi"/>
          <w:sz w:val="20"/>
        </w:rPr>
        <w:t>izará las actividades. Indique además, qué Académico/a(s) es responsable de dichos procedimientos, y en caso de aplicar, señale el nivel de bioseguridad del laboratorio (1, 2, 3, N/A).</w:t>
      </w:r>
    </w:p>
    <w:p w14:paraId="00BF2BBA" w14:textId="77777777" w:rsidR="00742C97" w:rsidRPr="00742C97" w:rsidRDefault="00742C97" w:rsidP="00742C97">
      <w:pPr>
        <w:jc w:val="both"/>
        <w:rPr>
          <w:rFonts w:asciiTheme="minorHAnsi" w:hAnsiTheme="minorHAnsi"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FC115D" w14:paraId="10592480" w14:textId="77777777" w:rsidTr="003A17A4">
        <w:tc>
          <w:tcPr>
            <w:tcW w:w="3402" w:type="dxa"/>
            <w:shd w:val="clear" w:color="auto" w:fill="E7E6E6" w:themeFill="background2"/>
          </w:tcPr>
          <w:p w14:paraId="5217F2E0" w14:textId="0FC12520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Facultad</w:t>
            </w:r>
          </w:p>
        </w:tc>
        <w:tc>
          <w:tcPr>
            <w:tcW w:w="6803" w:type="dxa"/>
          </w:tcPr>
          <w:p w14:paraId="7BCD5C41" w14:textId="7E2027BF" w:rsidR="00A46F51" w:rsidRPr="009767C2" w:rsidRDefault="00A46F51" w:rsidP="006F0422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Facultad de Ingeniería</w:t>
            </w:r>
          </w:p>
        </w:tc>
      </w:tr>
      <w:tr w:rsidR="00FC115D" w14:paraId="29AF164A" w14:textId="77777777" w:rsidTr="003A17A4">
        <w:tc>
          <w:tcPr>
            <w:tcW w:w="3402" w:type="dxa"/>
            <w:shd w:val="clear" w:color="auto" w:fill="E7E6E6" w:themeFill="background2"/>
          </w:tcPr>
          <w:p w14:paraId="46D9F1C8" w14:textId="7FBA0407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Laboratorio</w:t>
            </w:r>
          </w:p>
        </w:tc>
        <w:tc>
          <w:tcPr>
            <w:tcW w:w="6803" w:type="dxa"/>
          </w:tcPr>
          <w:p w14:paraId="321D50BC" w14:textId="32A1C8DE" w:rsidR="00A46F51" w:rsidRPr="009767C2" w:rsidRDefault="00A46F51" w:rsidP="006F0422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Centro de AstroIngeniería UC (AIUC) – Campus San Joaquín</w:t>
            </w:r>
          </w:p>
        </w:tc>
      </w:tr>
      <w:tr w:rsidR="00FC115D" w14:paraId="5955A2B0" w14:textId="77777777" w:rsidTr="003A17A4">
        <w:tc>
          <w:tcPr>
            <w:tcW w:w="3402" w:type="dxa"/>
            <w:shd w:val="clear" w:color="auto" w:fill="E7E6E6" w:themeFill="background2"/>
          </w:tcPr>
          <w:p w14:paraId="3CF6CE21" w14:textId="459AA8FE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Académico</w:t>
            </w:r>
            <w:r w:rsidR="00742C97">
              <w:rPr>
                <w:rFonts w:ascii="Calibri" w:hAnsi="Calibri" w:cs="Calibri"/>
                <w:b/>
                <w:sz w:val="20"/>
                <w:szCs w:val="20"/>
              </w:rPr>
              <w:t>(s)</w:t>
            </w:r>
            <w:r w:rsidRPr="00A46F51">
              <w:rPr>
                <w:rFonts w:ascii="Calibri" w:hAnsi="Calibri" w:cs="Calibri"/>
                <w:b/>
                <w:sz w:val="20"/>
                <w:szCs w:val="20"/>
              </w:rPr>
              <w:t xml:space="preserve"> Responsable</w:t>
            </w:r>
            <w:r w:rsidR="00742C97">
              <w:rPr>
                <w:rFonts w:ascii="Calibri" w:hAnsi="Calibri" w:cs="Calibri"/>
                <w:b/>
                <w:sz w:val="20"/>
                <w:szCs w:val="20"/>
              </w:rPr>
              <w:t>(s)</w:t>
            </w:r>
          </w:p>
        </w:tc>
        <w:tc>
          <w:tcPr>
            <w:tcW w:w="6803" w:type="dxa"/>
          </w:tcPr>
          <w:p w14:paraId="634E9922" w14:textId="3AC394F3" w:rsidR="00A46F51" w:rsidRPr="009767C2" w:rsidRDefault="00A46F51" w:rsidP="006F0422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Marilyn Cruces</w:t>
            </w:r>
          </w:p>
        </w:tc>
      </w:tr>
      <w:tr w:rsidR="00FC115D" w14:paraId="5A4121F9" w14:textId="77777777" w:rsidTr="003A17A4">
        <w:tc>
          <w:tcPr>
            <w:tcW w:w="3402" w:type="dxa"/>
            <w:shd w:val="clear" w:color="auto" w:fill="E7E6E6" w:themeFill="background2"/>
          </w:tcPr>
          <w:p w14:paraId="454F2503" w14:textId="1A1B9214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Nivel de Bioseguridad</w:t>
            </w:r>
          </w:p>
        </w:tc>
        <w:tc>
          <w:tcPr>
            <w:tcW w:w="6803" w:type="dxa"/>
          </w:tcPr>
          <w:p w14:paraId="084BAD39" w14:textId="7C35F3E2" w:rsidR="00A46F51" w:rsidRPr="009767C2" w:rsidRDefault="00A46F51" w:rsidP="006F0422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N/A (no se manipulan agentes biológicos)</w:t>
            </w:r>
          </w:p>
        </w:tc>
      </w:tr>
    </w:tbl>
    <w:p w14:paraId="5A7876B2" w14:textId="77777777" w:rsidR="00A46F51" w:rsidRDefault="00A46F51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p w14:paraId="6876C253" w14:textId="7E54A8AB" w:rsidR="00742C97" w:rsidRDefault="00742C97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  <w:r w:rsidRPr="003D670D">
        <w:rPr>
          <w:rFonts w:ascii="Calibri" w:hAnsi="Calibri" w:cs="Calibri"/>
          <w:b/>
          <w:sz w:val="20"/>
          <w:szCs w:val="20"/>
        </w:rPr>
        <w:t>Tabla 2. Procedimiento</w:t>
      </w:r>
      <w:r w:rsidR="003A17A4">
        <w:rPr>
          <w:rFonts w:ascii="Calibri" w:hAnsi="Calibri" w:cs="Calibri"/>
          <w:b/>
          <w:sz w:val="20"/>
          <w:szCs w:val="20"/>
        </w:rPr>
        <w:t xml:space="preserve"> a realizar</w:t>
      </w:r>
      <w:r w:rsidRPr="003D670D">
        <w:rPr>
          <w:rFonts w:ascii="Calibri" w:hAnsi="Calibri" w:cs="Calibri"/>
          <w:b/>
          <w:sz w:val="20"/>
          <w:szCs w:val="20"/>
        </w:rPr>
        <w:t>.</w:t>
      </w:r>
      <w:r>
        <w:rPr>
          <w:rFonts w:ascii="Calibri" w:hAnsi="Calibri" w:cs="Calibri"/>
          <w:sz w:val="20"/>
          <w:szCs w:val="20"/>
        </w:rPr>
        <w:t xml:space="preserve"> </w:t>
      </w:r>
      <w:r w:rsidR="003A17A4">
        <w:rPr>
          <w:rFonts w:ascii="Calibri" w:hAnsi="Calibri" w:cs="Calibri"/>
          <w:sz w:val="20"/>
          <w:szCs w:val="20"/>
        </w:rPr>
        <w:t>En la siguiente tabla, indique el nombre del procedimiento, la descripción, factores de riesgo que identifique, en qué área del laboratorio se realizará el procedimiento y elementos de protección personal (EPP) que se deben utilizar.</w:t>
      </w:r>
    </w:p>
    <w:p w14:paraId="3FE3365C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3A17A4" w14:paraId="39E0C99E" w14:textId="77777777" w:rsidTr="003A17A4">
        <w:tc>
          <w:tcPr>
            <w:tcW w:w="3402" w:type="dxa"/>
            <w:shd w:val="clear" w:color="auto" w:fill="E7E6E6" w:themeFill="background2"/>
          </w:tcPr>
          <w:p w14:paraId="5DBE2D3A" w14:textId="77777777" w:rsidR="003A17A4" w:rsidRPr="00A46F51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Nombre del p</w:t>
            </w: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rocedimiento</w:t>
            </w:r>
          </w:p>
        </w:tc>
        <w:tc>
          <w:tcPr>
            <w:tcW w:w="6803" w:type="dxa"/>
          </w:tcPr>
          <w:p w14:paraId="63D9E987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i w:val="0"/>
                <w:sz w:val="20"/>
              </w:rPr>
              <w:t>PTS-03 · Preparación de solución electrolítica de cobre ácido (10 L): sulfato de cobre pentahidratado y ácido sulfúrico concentrado 98 %</w:t>
            </w:r>
          </w:p>
        </w:tc>
      </w:tr>
    </w:tbl>
    <w:p w14:paraId="108CAACB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3A17A4" w14:paraId="224C2C8C" w14:textId="77777777" w:rsidTr="003A17A4">
        <w:trPr>
          <w:trHeight w:val="1701"/>
        </w:trPr>
        <w:tc>
          <w:tcPr>
            <w:tcW w:w="3402" w:type="dxa"/>
            <w:shd w:val="clear" w:color="auto" w:fill="E7E6E6" w:themeFill="background2"/>
            <w:vAlign w:val="center"/>
          </w:tcPr>
          <w:p w14:paraId="716FBC14" w14:textId="77777777" w:rsidR="003A17A4" w:rsidRPr="00FC115D" w:rsidRDefault="003A17A4" w:rsidP="003A17A4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0"/>
                <w:szCs w:val="20"/>
              </w:rPr>
            </w:pPr>
            <w:r w:rsidRPr="00FC115D">
              <w:rPr>
                <w:rFonts w:ascii="Calibri" w:hAnsi="Calibri" w:cs="Calibri"/>
                <w:b/>
                <w:sz w:val="20"/>
                <w:szCs w:val="20"/>
              </w:rPr>
              <w:t>Descripción de la actividad a realizar</w:t>
            </w:r>
          </w:p>
        </w:tc>
        <w:tc>
          <w:tcPr>
            <w:tcW w:w="6803" w:type="dxa"/>
          </w:tcPr>
          <w:p w14:paraId="668F4B64" w14:textId="77777777" w:rsidR="003A17A4" w:rsidRDefault="003A17A4" w:rsidP="00BA2F26">
            <w:pPr>
              <w:autoSpaceDE w:val="0"/>
              <w:autoSpaceDN w:val="0"/>
              <w:adjustRightInd w:val="0"/>
              <w:spacing w:before="0" w:after="40"/>
              <w:ind w:left="0" w:firstLin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i w:val="0"/>
                <w:sz w:val="20"/>
              </w:rPr>
              <w:t>Composición (10 L)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Sulfato de cobre pentahidratado (CuSO₄·5H₂O): 0,750 kg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Ácido sulfúrico 98 % (ρ ≈ 1,84 g/cm³): ≈ 0,70 L (≈ 1,29 kg)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Cloruro de sodio (NaCl): 0,9 g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Agua destilada/desionizada: completar hasta 10 L</w:t>
            </w:r>
          </w:p>
          <w:p>
            <w:pPr>
              <w:keepNext/>
              <w:spacing w:before="100" w:after="40"/>
            </w:pPr>
            <w:r>
              <w:rPr>
                <w:rFonts w:ascii="Calibri" w:hAnsi="Calibri"/>
                <w:b/>
                <w:i w:val="0"/>
                <w:sz w:val="20"/>
              </w:rPr>
              <w:t>Antes del procedimiento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</w:r>
            <w:r>
              <w:rPr>
                <w:rFonts w:ascii="Calibri" w:hAnsi="Calibri"/>
                <w:b/>
                <w:i w:val="0"/>
                <w:sz w:val="19"/>
              </w:rPr>
              <w:t>No trabajar solo: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un par debe estar presente durante toda la preparación.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Verificar funcionamiento de campana, ducha de emergencia y lavaojos (accesibles, sin obstáculos).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Tener a mano el kit de derrames y un neutralizante para ácidos (carbonato o bicarbonato de sodio).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Colocar el recipiente de HDPE (polietileno de alta densidad) dentro de una bandeja de contención secundaria, sobre el agitador magnético.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Rotular el recipiente antes de llenarlo (ver punto 8).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Colocarse el EPP completo, incluido protector facial para la adición del ácido.</w:t>
            </w:r>
          </w:p>
          <w:p>
            <w:pPr>
              <w:keepNext/>
              <w:spacing w:before="100" w:after="40"/>
            </w:pPr>
            <w:r>
              <w:rPr>
                <w:rFonts w:ascii="Calibri" w:hAnsi="Calibri"/>
                <w:b/>
                <w:i w:val="0"/>
                <w:sz w:val="20"/>
              </w:rPr>
              <w:t>Protocolo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1.</w:t>
              <w:tab/>
              <w:t>Calentar ~7 L de agua destilada hasta ~49 °C por separado (no calentar el recipiente de HDPE directamente sobre una placa) y verterla en el recipiente.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2.</w:t>
              <w:tab/>
              <w:t>Pesar 0,750 kg de sulfato de cobre evitando levantar polvo (no soplar ni sacudir el envase) y agregarlo al agua con agitación magnética hasta disolución completa.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3.</w:t>
              <w:tab/>
              <w:t>Dejar enfriar la solución a temperatura ambiente.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4.</w:t>
              <w:tab/>
              <w:t>Bajo campana, medir el ácido sulfúrico con probeta de vidrio borosilicato, trasvasijando lentamente desde la botella apoyada en el mesón (nunca a la altura del rostro).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5.</w:t>
              <w:tab/>
              <w:t xml:space="preserve">Agregar el ácido </w:t>
            </w:r>
            <w:r>
              <w:rPr>
                <w:rFonts w:ascii="Calibri" w:hAnsi="Calibri"/>
                <w:b/>
                <w:i w:val="0"/>
                <w:sz w:val="19"/>
              </w:rPr>
              <w:t>muy lentamente, siempre ácido sobre la solución acuosa y nunca agua sobre el ácido</w:t>
            </w:r>
            <w:r>
              <w:rPr>
                <w:rFonts w:ascii="Calibri" w:hAnsi="Calibri"/>
                <w:b w:val="0"/>
                <w:i w:val="0"/>
                <w:sz w:val="19"/>
              </w:rPr>
              <w:t>, en porciones de ~100 mL, dejando escurrir por la pared del recipiente y con agitación constante. La dilución es fuertemente exotérmica (se estima un aumento de ~25–30 °C para el total): medir la temperatura entre adiciones y esperar a que baje antes de continuar.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6.</w:t>
              <w:tab/>
              <w:t>Agregar 0,9 g de NaCl y agitar.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7.</w:t>
              <w:tab/>
              <w:t>Completar con agua destilada hasta 10 L y dejar estabilizar a temperatura ambiente.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8.</w:t>
              <w:tab/>
              <w:t>Tapar y rotular: «Solución electrolítica de cobre ácido – CuSO₄ ~75 g/L, H₂SO₄ ~7 % v/v – CORROSIVO – Peligroso para el medio ambiente», fecha de preparación y responsable.</w:t>
            </w:r>
          </w:p>
          <w:p>
            <w:pPr>
              <w:keepNext/>
              <w:spacing w:before="100" w:after="40"/>
            </w:pPr>
            <w:r>
              <w:rPr>
                <w:rFonts w:ascii="Calibri" w:hAnsi="Calibri"/>
                <w:b/>
                <w:i w:val="0"/>
                <w:sz w:val="20"/>
              </w:rPr>
              <w:t>Posterior al procedimiento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Enjuagar la probeta con agua agregando el enjuague al propio baño. No eliminar restos de ácido ni de solución de cobre por el desagüe.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Devolver el ácido sulfúrico y el sulfato de cobre a su lugar de almacenamiento (corrosivos ácidos, separado de bases y de inflamables).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Limpiar salpicaduras de inmediato; secar el mesón y lavarse las manos al retirar los guantes.</w:t>
            </w:r>
          </w:p>
        </w:tc>
      </w:tr>
    </w:tbl>
    <w:p w14:paraId="5221B027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3A17A4" w14:paraId="5BC01E94" w14:textId="77777777" w:rsidTr="003A17A4">
        <w:tc>
          <w:tcPr>
            <w:tcW w:w="3402" w:type="dxa"/>
            <w:shd w:val="clear" w:color="auto" w:fill="E7E6E6" w:themeFill="background2"/>
          </w:tcPr>
          <w:p w14:paraId="30713E5F" w14:textId="77777777" w:rsidR="003A17A4" w:rsidRPr="00A46F51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Factores de riesgo</w:t>
            </w:r>
          </w:p>
        </w:tc>
        <w:tc>
          <w:tcPr>
            <w:tcW w:w="6803" w:type="dxa"/>
          </w:tcPr>
          <w:p w14:paraId="03728760" w14:textId="77777777" w:rsidR="003A17A4" w:rsidRDefault="003A17A4" w:rsidP="00BA2F26">
            <w:pPr>
              <w:autoSpaceDE w:val="0"/>
              <w:autoSpaceDN w:val="0"/>
              <w:adjustRightInd w:val="0"/>
              <w:spacing w:before="0" w:after="30"/>
              <w:ind w:left="369" w:hanging="255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</w:r>
            <w:r>
              <w:rPr>
                <w:rFonts w:ascii="Calibri" w:hAnsi="Calibri"/>
                <w:b/>
                <w:i w:val="0"/>
                <w:sz w:val="19"/>
              </w:rPr>
              <w:t>Ácido sulfúrico 98 %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(UN 1830, clase 8): provoca quemaduras graves en la piel y lesiones oculares graves (riesgo de ceguera); corrosivo para metales; reacción violenta y exotérmica con agua y con bases (NaOH); genera hidrógeno con metales; incompatible con solventes orgánicos y oxidantes. LPP ponderado 0,8 mg/m³.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</w:r>
            <w:r>
              <w:rPr>
                <w:rFonts w:ascii="Calibri" w:hAnsi="Calibri"/>
                <w:b/>
                <w:i w:val="0"/>
                <w:sz w:val="19"/>
              </w:rPr>
              <w:t>Sulfato de cobre pentahidratado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(UN 3077, clase 9): nocivo por ingestión e inhalación de polvo; irritación cutánea y ocular grave; muy tóxico para organismos acuáticos.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</w:r>
            <w:r>
              <w:rPr>
                <w:rFonts w:ascii="Calibri" w:hAnsi="Calibri"/>
                <w:b/>
                <w:i w:val="0"/>
                <w:sz w:val="19"/>
              </w:rPr>
              <w:t>Cloruro de sodio</w:t>
            </w:r>
            <w:r>
              <w:rPr>
                <w:rFonts w:ascii="Calibri" w:hAnsi="Calibri"/>
                <w:b w:val="0"/>
                <w:i w:val="0"/>
                <w:sz w:val="19"/>
              </w:rPr>
              <w:t>: bajo riesgo en la cantidad utilizada.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Agua caliente (~49 °C) y calor de dilución del ácido: quemaduras y salpicaduras.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Rotura de material de vidrio; equipo eléctrico (agitador) cerca de líquidos.</w:t>
            </w:r>
          </w:p>
        </w:tc>
      </w:tr>
      <w:tr w:rsidR="003A17A4" w14:paraId="76229ADA" w14:textId="77777777" w:rsidTr="003A17A4">
        <w:tc>
          <w:tcPr>
            <w:tcW w:w="3402" w:type="dxa"/>
            <w:shd w:val="clear" w:color="auto" w:fill="E7E6E6" w:themeFill="background2"/>
          </w:tcPr>
          <w:p w14:paraId="7461F026" w14:textId="77777777" w:rsidR="003A17A4" w:rsidRPr="00A46F51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Zona de trabajo</w:t>
            </w:r>
          </w:p>
        </w:tc>
        <w:tc>
          <w:tcPr>
            <w:tcW w:w="6803" w:type="dxa"/>
          </w:tcPr>
          <w:p w14:paraId="6C46E095" w14:textId="77777777" w:rsidR="003A17A4" w:rsidRDefault="003A17A4" w:rsidP="00BA2F26">
            <w:pPr>
              <w:autoSpaceDE w:val="0"/>
              <w:autoSpaceDN w:val="0"/>
              <w:adjustRightInd w:val="0"/>
              <w:spacing w:before="0" w:after="30"/>
              <w:ind w:left="369" w:hanging="255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 xml:space="preserve">Pasos 4 a 6 (medición y adición de ácido): </w:t>
            </w:r>
            <w:r>
              <w:rPr>
                <w:rFonts w:ascii="Calibri" w:hAnsi="Calibri"/>
                <w:b/>
                <w:i w:val="0"/>
                <w:sz w:val="19"/>
              </w:rPr>
              <w:t>exclusivamente bajo campana de extracción</w:t>
            </w:r>
            <w:r>
              <w:rPr>
                <w:rFonts w:ascii="Calibri" w:hAnsi="Calibri"/>
                <w:b w:val="0"/>
                <w:i w:val="0"/>
                <w:sz w:val="19"/>
              </w:rPr>
              <w:t>, con el recipiente en bandeja de contención.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Pesaje del sulfato de cobre: balanza en zona sin corrientes de aire.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Resto de los pasos: mesón de trabajo despejado, con el recipiente en bandeja de contención.</w:t>
            </w:r>
          </w:p>
        </w:tc>
      </w:tr>
    </w:tbl>
    <w:p w14:paraId="7717F885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2"/>
        <w:gridCol w:w="5102"/>
      </w:tblGrid>
      <w:tr w:rsidR="003A17A4" w14:paraId="23741103" w14:textId="77777777" w:rsidTr="003A17A4">
        <w:tc>
          <w:tcPr>
            <w:tcW w:w="5102" w:type="dxa"/>
            <w:shd w:val="clear" w:color="auto" w:fill="E7E6E6" w:themeFill="background2"/>
          </w:tcPr>
          <w:p w14:paraId="0D365DAF" w14:textId="77777777" w:rsidR="003A17A4" w:rsidRPr="00FC115D" w:rsidRDefault="003A17A4" w:rsidP="00BA2F2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115D">
              <w:rPr>
                <w:rFonts w:ascii="Calibri" w:hAnsi="Calibri" w:cs="Calibri"/>
                <w:b/>
                <w:sz w:val="20"/>
                <w:szCs w:val="20"/>
              </w:rPr>
              <w:t>Elementos de protección personal necesarios</w:t>
            </w:r>
          </w:p>
        </w:tc>
        <w:tc>
          <w:tcPr>
            <w:tcW w:w="5102" w:type="dxa"/>
            <w:shd w:val="clear" w:color="auto" w:fill="E7E6E6" w:themeFill="background2"/>
          </w:tcPr>
          <w:p w14:paraId="79B4AD94" w14:textId="77777777" w:rsidR="003A17A4" w:rsidRPr="00FC115D" w:rsidRDefault="003A17A4" w:rsidP="00BA2F2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115D">
              <w:rPr>
                <w:rFonts w:ascii="Calibri" w:hAnsi="Calibri" w:cs="Calibri"/>
                <w:b/>
                <w:sz w:val="20"/>
                <w:szCs w:val="20"/>
              </w:rPr>
              <w:t>Observaciones</w:t>
            </w:r>
          </w:p>
        </w:tc>
      </w:tr>
      <w:tr w:rsidR="003A17A4" w14:paraId="33838382" w14:textId="77777777" w:rsidTr="003A17A4">
        <w:tc>
          <w:tcPr>
            <w:tcW w:w="5102" w:type="dxa"/>
          </w:tcPr>
          <w:p w14:paraId="36BD5883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Bata de laboratorio manga larga + delantal resistente a químicos (PVC o neopreno)</w:t>
            </w:r>
          </w:p>
        </w:tc>
        <w:tc>
          <w:tcPr>
            <w:tcW w:w="5102" w:type="dxa"/>
          </w:tcPr>
          <w:p w14:paraId="18F96AD1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Uso obligatorio durante todo el procedimiento</w:t>
            </w:r>
          </w:p>
        </w:tc>
      </w:tr>
      <w:tr w:rsidR="003A17A4" w14:paraId="5BEC0E11" w14:textId="77777777" w:rsidTr="003A17A4">
        <w:tc>
          <w:tcPr>
            <w:tcW w:w="5102" w:type="dxa"/>
          </w:tcPr>
          <w:p w14:paraId="5758D2D0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Guantes de butilo, neopreno o PVC (manga larga)</w:t>
            </w:r>
          </w:p>
        </w:tc>
        <w:tc>
          <w:tcPr>
            <w:tcW w:w="5102" w:type="dxa"/>
          </w:tcPr>
          <w:p w14:paraId="059C656F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Obligatorio para la manipulación del ácido sulfúrico concentrado (recomendación de la FDS)</w:t>
            </w:r>
          </w:p>
        </w:tc>
      </w:tr>
      <w:tr w:rsidR="003A17A4" w14:paraId="7DFAE945" w14:textId="77777777" w:rsidTr="003A17A4">
        <w:tc>
          <w:tcPr>
            <w:tcW w:w="5102" w:type="dxa"/>
          </w:tcPr>
          <w:p w14:paraId="09E48B9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Guantes de nitrilo grueso</w:t>
            </w:r>
          </w:p>
        </w:tc>
        <w:tc>
          <w:tcPr>
            <w:tcW w:w="5102" w:type="dxa"/>
          </w:tcPr>
          <w:p w14:paraId="1FCC5C3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Para la solución diluida y el sulfato de cobre</w:t>
            </w:r>
          </w:p>
        </w:tc>
      </w:tr>
      <w:tr w:rsidR="003A17A4" w14:paraId="7DFAE945" w14:textId="77777777" w:rsidTr="003A17A4">
        <w:tc>
          <w:tcPr>
            <w:tcW w:w="5102" w:type="dxa"/>
          </w:tcPr>
          <w:p w14:paraId="09E48B9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Gafas de seguridad herméticas (antisalpicaduras)</w:t>
            </w:r>
          </w:p>
        </w:tc>
        <w:tc>
          <w:tcPr>
            <w:tcW w:w="5102" w:type="dxa"/>
          </w:tcPr>
          <w:p w14:paraId="1FCC5C3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Uso obligatorio durante todo el procedimiento</w:t>
            </w:r>
          </w:p>
        </w:tc>
      </w:tr>
      <w:tr w:rsidR="003A17A4" w14:paraId="7DFAE945" w14:textId="77777777" w:rsidTr="003A17A4">
        <w:tc>
          <w:tcPr>
            <w:tcW w:w="5102" w:type="dxa"/>
          </w:tcPr>
          <w:p w14:paraId="09E48B9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Protector facial</w:t>
            </w:r>
          </w:p>
        </w:tc>
        <w:tc>
          <w:tcPr>
            <w:tcW w:w="5102" w:type="dxa"/>
          </w:tcPr>
          <w:p w14:paraId="1FCC5C3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Obligatorio durante el trasvasije y adición del ácido (sobre las gafas)</w:t>
            </w:r>
          </w:p>
        </w:tc>
      </w:tr>
      <w:tr w:rsidR="003A17A4" w14:paraId="7DFAE945" w14:textId="77777777" w:rsidTr="003A17A4">
        <w:tc>
          <w:tcPr>
            <w:tcW w:w="5102" w:type="dxa"/>
          </w:tcPr>
          <w:p w14:paraId="09E48B9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Respirador media cara con filtro para gases ácidos y partículas (tipo E/ABEK + P2)</w:t>
            </w:r>
          </w:p>
        </w:tc>
        <w:tc>
          <w:tcPr>
            <w:tcW w:w="5102" w:type="dxa"/>
          </w:tcPr>
          <w:p w14:paraId="1FCC5C3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Si no se dispone de campana o ante emanación de vapores/aerosoles</w:t>
            </w:r>
          </w:p>
        </w:tc>
      </w:tr>
      <w:tr w:rsidR="003A17A4" w14:paraId="7DFAE945" w14:textId="77777777" w:rsidTr="003A17A4">
        <w:tc>
          <w:tcPr>
            <w:tcW w:w="5102" w:type="dxa"/>
          </w:tcPr>
          <w:p w14:paraId="09E48B9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Calzado cerrado no absorbente</w:t>
            </w:r>
          </w:p>
        </w:tc>
        <w:tc>
          <w:tcPr>
            <w:tcW w:w="5102" w:type="dxa"/>
          </w:tcPr>
          <w:p w14:paraId="1FCC5C3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Uso obligatorio en el laboratorio</w:t>
            </w:r>
          </w:p>
        </w:tc>
      </w:tr>
    </w:tbl>
    <w:p w14:paraId="752021BB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p w14:paraId="412F50CD" w14:textId="77777777" w:rsidR="009B2DB7" w:rsidRPr="00DB538A" w:rsidRDefault="009B2DB7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p>
      <w:pPr>
        <w:spacing w:before="160" w:after="40"/>
      </w:pPr>
      <w:r>
        <w:rPr>
          <w:rFonts w:ascii="Calibri" w:hAnsi="Calibri"/>
          <w:b/>
          <w:i w:val="0"/>
          <w:sz w:val="20"/>
        </w:rPr>
        <w:t>Documentos de referencia:</w:t>
      </w:r>
    </w:p>
    <w:p>
      <w:pPr>
        <w:spacing w:after="20"/>
        <w:ind w:left="255" w:hanging="255"/>
      </w:pPr>
      <w:r>
        <w:rPr>
          <w:rFonts w:ascii="Calibri" w:hAnsi="Calibri"/>
          <w:b w:val="0"/>
          <w:i w:val="0"/>
          <w:sz w:val="18"/>
        </w:rPr>
        <w:t>- FDS Ácido Sulfúrico Concentrado y Sulfato de Cobre Pentahidratado (Bioquimica.cl).</w:t>
      </w:r>
    </w:p>
    <w:p>
      <w:pPr>
        <w:spacing w:after="20"/>
        <w:ind w:left="255" w:hanging="255"/>
      </w:pPr>
      <w:r>
        <w:rPr>
          <w:rFonts w:ascii="Calibri" w:hAnsi="Calibri"/>
          <w:b w:val="0"/>
          <w:i w:val="0"/>
          <w:sz w:val="18"/>
        </w:rPr>
        <w:t>- Guía de Metalizado de Cobre sobre Pieza de Resina (Paso 4).</w:t>
      </w:r>
    </w:p>
    <w:p>
      <w:pPr>
        <w:spacing w:after="20"/>
        <w:ind w:left="255" w:hanging="255"/>
      </w:pPr>
      <w:r>
        <w:rPr>
          <w:rFonts w:ascii="Calibri" w:hAnsi="Calibri"/>
          <w:b w:val="0"/>
          <w:i w:val="0"/>
          <w:sz w:val="18"/>
        </w:rPr>
        <w:t>- Protocolo general de manejo de químicos AIUC y Procedimiento en caso de derrame F-DPR 15.</w:t>
      </w:r>
    </w:p>
    <w:p w14:paraId="65932AA4" w14:textId="5EF9E632" w:rsidR="00F92D6B" w:rsidRPr="009767C2" w:rsidRDefault="00FC115D" w:rsidP="00F92D6B">
      <w:pPr>
        <w:spacing w:before="200"/>
        <w:rPr>
          <w:rFonts w:ascii="Calibri" w:hAnsi="Calibri" w:cs="Calibri"/>
          <w:b/>
          <w:color w:val="000000" w:themeColor="text1"/>
        </w:rPr>
      </w:pPr>
      <w:r w:rsidRPr="009767C2">
        <w:rPr>
          <w:rFonts w:ascii="Calibri" w:hAnsi="Calibri" w:cs="Calibri"/>
          <w:b/>
          <w:color w:val="000000" w:themeColor="text1"/>
          <w:sz w:val="20"/>
          <w:szCs w:val="20"/>
        </w:rPr>
        <w:t>Responsables:</w:t>
      </w:r>
    </w:p>
    <w:p w14:paraId="59D7C093" w14:textId="77777777" w:rsidR="001C7666" w:rsidRPr="00DB538A" w:rsidRDefault="001C7666" w:rsidP="00F92D6B">
      <w:pPr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C115D" w:rsidRPr="00FC115D" w14:paraId="1A59555E" w14:textId="77777777" w:rsidTr="00FC115D">
        <w:tc>
          <w:tcPr>
            <w:tcW w:w="4814" w:type="dxa"/>
          </w:tcPr>
          <w:p w14:paraId="3655A539" w14:textId="585287F1" w:rsidR="00FC115D" w:rsidRPr="00FC115D" w:rsidRDefault="00FC115D" w:rsidP="00172A0F">
            <w:pPr>
              <w:spacing w:after="20" w:before="0"/>
              <w:jc w:val="left"/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/>
                <w:b w:val="0"/>
                <w:i/>
                <w:sz w:val="20"/>
              </w:rPr>
              <w:t>Elaborado por: Nicolás Seguel Ardiles</w:t>
            </w:r>
          </w:p>
        </w:tc>
        <w:tc>
          <w:tcPr>
            <w:tcW w:w="4814" w:type="dxa"/>
          </w:tcPr>
          <w:p w14:paraId="5CDE4CB2" w14:textId="77777777" w:rsidR="00FC115D" w:rsidRDefault="00FC115D" w:rsidP="00172A0F">
            <w:pPr>
              <w:spacing w:after="20" w:before="0"/>
              <w:jc w:val="left"/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/>
                <w:b w:val="0"/>
                <w:i/>
                <w:sz w:val="20"/>
              </w:rPr>
              <w:t>Revisado por:</w:t>
            </w:r>
          </w:p>
        </w:tc>
      </w:tr>
      <w:tr w:rsidR="00FC115D" w:rsidRPr="00FC115D" w14:paraId="2EB25C58" w14:textId="77777777" w:rsidTr="00FC115D">
        <w:tc>
          <w:tcPr>
            <w:tcW w:w="4814" w:type="dxa"/>
          </w:tcPr>
          <w:p w14:paraId="702CAD78" w14:textId="71360EFA" w:rsidR="00FC115D" w:rsidRPr="00FC115D" w:rsidRDefault="00FC115D" w:rsidP="00172A0F">
            <w:pPr>
              <w:spacing w:after="20" w:before="0"/>
              <w:jc w:val="left"/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/>
                <w:b w:val="0"/>
                <w:i/>
                <w:sz w:val="20"/>
              </w:rPr>
              <w:t>Fecha: 30/09/2026</w:t>
            </w:r>
          </w:p>
        </w:tc>
        <w:tc>
          <w:tcPr>
            <w:tcW w:w="4814" w:type="dxa"/>
          </w:tcPr>
          <w:p w14:paraId="7D07C8E1" w14:textId="63CA2445" w:rsidR="00FC115D" w:rsidRP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i/>
                <w:sz w:val="20"/>
                <w:szCs w:val="20"/>
              </w:rPr>
              <w:t>Fecha:</w:t>
            </w:r>
          </w:p>
        </w:tc>
      </w:tr>
      <w:tr w:rsidR="00FC115D" w:rsidRPr="00FC115D" w14:paraId="4A37C377" w14:textId="77777777" w:rsidTr="00FC115D">
        <w:tc>
          <w:tcPr>
            <w:tcW w:w="4814" w:type="dxa"/>
          </w:tcPr>
          <w:p w14:paraId="57313C81" w14:textId="77777777" w:rsid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i/>
                <w:sz w:val="20"/>
                <w:szCs w:val="20"/>
              </w:rPr>
              <w:t>Firma</w:t>
            </w:r>
          </w:p>
          <w:p w14:paraId="16EAF3A9" w14:textId="77777777" w:rsid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</w:p>
          <w:p w14:paraId="0B8D7882" w14:textId="41E97246" w:rsidR="00FC115D" w:rsidRP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</w:p>
        </w:tc>
        <w:tc>
          <w:tcPr>
            <w:tcW w:w="4814" w:type="dxa"/>
          </w:tcPr>
          <w:p w14:paraId="4D54D337" w14:textId="5CFCA81C" w:rsidR="00FC115D" w:rsidRP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i/>
                <w:sz w:val="20"/>
                <w:szCs w:val="20"/>
              </w:rPr>
              <w:t>Firma</w:t>
            </w:r>
          </w:p>
        </w:tc>
      </w:tr>
    </w:tbl>
    <w:p w14:paraId="7E9F05A0" w14:textId="77777777" w:rsidR="00172A0F" w:rsidRPr="00E00575" w:rsidRDefault="00172A0F" w:rsidP="00172A0F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</w:rPr>
      </w:pPr>
    </w:p>
    <w:sectPr w:rsidR="00172A0F" w:rsidRPr="00E00575" w:rsidSect="003A17A4">
      <w:headerReference w:type="default" r:id="rId8"/>
      <w:pgSz w:w="12240" w:h="15840"/>
      <w:pgMar w:top="1548" w:right="720" w:bottom="720" w:left="720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F0665" w14:textId="77777777" w:rsidR="009E7288" w:rsidRDefault="009E7288">
      <w:r>
        <w:separator/>
      </w:r>
    </w:p>
  </w:endnote>
  <w:endnote w:type="continuationSeparator" w:id="0">
    <w:p w14:paraId="6D6764C3" w14:textId="77777777" w:rsidR="009E7288" w:rsidRDefault="009E7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A261E" w14:textId="77777777" w:rsidR="009E7288" w:rsidRDefault="009E7288">
      <w:r>
        <w:separator/>
      </w:r>
    </w:p>
  </w:footnote>
  <w:footnote w:type="continuationSeparator" w:id="0">
    <w:p w14:paraId="46BAAEDB" w14:textId="77777777" w:rsidR="009E7288" w:rsidRDefault="009E72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6658E" w14:textId="1476B338" w:rsidR="00CD0188" w:rsidRDefault="00CD0188" w:rsidP="00CD0188"/>
  <w:p w14:paraId="73742571" w14:textId="408B5ECF" w:rsidR="00CD0188" w:rsidRPr="00CD0188" w:rsidRDefault="00CD0188" w:rsidP="00CD0188"/>
  <w:tbl>
    <w:tblPr>
      <w:tblStyle w:val="Tablaconcuadrcula"/>
      <w:tblpPr w:leftFromText="141" w:rightFromText="141" w:horzAnchor="margin" w:tblpXSpec="center" w:tblpY="-600"/>
      <w:tblW w:w="10145" w:type="dxa"/>
      <w:tblBorders>
        <w:top w:val="double" w:sz="4" w:space="0" w:color="808080" w:themeColor="background1" w:themeShade="80"/>
        <w:left w:val="double" w:sz="4" w:space="0" w:color="808080" w:themeColor="background1" w:themeShade="80"/>
        <w:bottom w:val="double" w:sz="4" w:space="0" w:color="808080" w:themeColor="background1" w:themeShade="80"/>
        <w:right w:val="double" w:sz="4" w:space="0" w:color="808080" w:themeColor="background1" w:themeShade="80"/>
        <w:insideH w:val="double" w:sz="4" w:space="0" w:color="808080" w:themeColor="background1" w:themeShade="80"/>
        <w:insideV w:val="doub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3552"/>
      <w:gridCol w:w="4513"/>
      <w:gridCol w:w="2080"/>
    </w:tblGrid>
    <w:tr w:rsidR="003A17A4" w:rsidRPr="00693EC4" w14:paraId="675D7CA4" w14:textId="77777777" w:rsidTr="00BA2F26">
      <w:trPr>
        <w:trHeight w:val="762"/>
      </w:trPr>
      <w:tc>
        <w:tcPr>
          <w:tcW w:w="3552" w:type="dxa"/>
        </w:tcPr>
        <w:p w14:paraId="68AA2104" w14:textId="77777777" w:rsidR="003A17A4" w:rsidRPr="00693EC4" w:rsidRDefault="003A17A4" w:rsidP="003A17A4">
          <w:pPr>
            <w:spacing w:after="60" w:line="276" w:lineRule="auto"/>
            <w:ind w:right="418"/>
            <w:jc w:val="center"/>
            <w:rPr>
              <w:rFonts w:ascii="Calibri" w:eastAsia="Yu Gothic UI" w:hAnsi="Calibri" w:cs="Arial"/>
              <w:b/>
              <w:color w:val="2F5496" w:themeColor="accent1" w:themeShade="BF"/>
              <w:sz w:val="28"/>
            </w:rPr>
          </w:pPr>
          <w:r w:rsidRPr="00693EC4">
            <w:rPr>
              <w:noProof/>
              <w:lang w:val="es-ES_tradnl" w:eastAsia="es-ES_tradnl"/>
            </w:rPr>
            <w:drawing>
              <wp:anchor distT="0" distB="0" distL="114300" distR="114300" simplePos="0" relativeHeight="251660288" behindDoc="0" locked="0" layoutInCell="1" allowOverlap="1" wp14:anchorId="08839931" wp14:editId="3B9898B6">
                <wp:simplePos x="0" y="0"/>
                <wp:positionH relativeFrom="column">
                  <wp:posOffset>958215</wp:posOffset>
                </wp:positionH>
                <wp:positionV relativeFrom="page">
                  <wp:posOffset>128891</wp:posOffset>
                </wp:positionV>
                <wp:extent cx="1188720" cy="416560"/>
                <wp:effectExtent l="0" t="0" r="5080" b="2540"/>
                <wp:wrapSquare wrapText="bothSides"/>
                <wp:docPr id="3" name="Imagen 3" descr="Banner 800x2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Banner 800x200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314" r="1834"/>
                        <a:stretch/>
                      </pic:blipFill>
                      <pic:spPr bwMode="auto">
                        <a:xfrm>
                          <a:off x="0" y="0"/>
                          <a:ext cx="118872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93EC4">
            <w:rPr>
              <w:noProof/>
              <w:lang w:val="es-ES_tradnl" w:eastAsia="es-ES_tradnl"/>
            </w:rPr>
            <w:drawing>
              <wp:anchor distT="0" distB="0" distL="114300" distR="114300" simplePos="0" relativeHeight="251659264" behindDoc="1" locked="0" layoutInCell="1" allowOverlap="1" wp14:anchorId="68274286" wp14:editId="453008AA">
                <wp:simplePos x="0" y="0"/>
                <wp:positionH relativeFrom="column">
                  <wp:posOffset>-21591</wp:posOffset>
                </wp:positionH>
                <wp:positionV relativeFrom="page">
                  <wp:posOffset>32580</wp:posOffset>
                </wp:positionV>
                <wp:extent cx="981075" cy="553525"/>
                <wp:effectExtent l="0" t="0" r="0" b="0"/>
                <wp:wrapNone/>
                <wp:docPr id="4" name="Imagen 4" descr="UC lineal-0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UC lineal-02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25" t="4688" b="6185"/>
                        <a:stretch/>
                      </pic:blipFill>
                      <pic:spPr bwMode="auto">
                        <a:xfrm>
                          <a:off x="0" y="0"/>
                          <a:ext cx="983418" cy="5548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13" w:type="dxa"/>
          <w:vAlign w:val="center"/>
        </w:tcPr>
        <w:p w14:paraId="61C195AE" w14:textId="65C89A81" w:rsidR="003A17A4" w:rsidRPr="00556385" w:rsidRDefault="003A17A4" w:rsidP="003A17A4">
          <w:pPr>
            <w:spacing w:after="60" w:line="276" w:lineRule="auto"/>
            <w:ind w:right="418"/>
            <w:jc w:val="center"/>
            <w:rPr>
              <w:rFonts w:ascii="Calibri" w:eastAsia="Yu Gothic UI" w:hAnsi="Calibri" w:cs="Arial"/>
              <w:b/>
              <w:color w:val="2F5496" w:themeColor="accent1" w:themeShade="BF"/>
              <w:sz w:val="28"/>
              <w:szCs w:val="28"/>
            </w:rPr>
          </w:pPr>
          <w:r>
            <w:rPr>
              <w:rFonts w:ascii="Calibri" w:eastAsia="Yu Gothic UI" w:hAnsi="Calibri" w:cs="Arial"/>
              <w:b/>
              <w:color w:val="2F5496" w:themeColor="accent1" w:themeShade="BF"/>
              <w:sz w:val="28"/>
              <w:szCs w:val="28"/>
            </w:rPr>
            <w:t>PROCEDIMIENTO DE TRABAJO SEGURO</w:t>
          </w:r>
        </w:p>
      </w:tc>
      <w:tc>
        <w:tcPr>
          <w:tcW w:w="2080" w:type="dxa"/>
          <w:vAlign w:val="center"/>
        </w:tcPr>
        <w:p w14:paraId="5A981E62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Versión: </w:t>
          </w: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>1</w:t>
          </w:r>
        </w:p>
        <w:p w14:paraId="18D27E34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Fecha: </w:t>
          </w: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>30/09/2026</w:t>
          </w:r>
        </w:p>
        <w:p w14:paraId="5E405A3E" w14:textId="77777777" w:rsidR="003A17A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>Elaborado: Nicolás Seguel A.</w:t>
          </w:r>
        </w:p>
        <w:p w14:paraId="65D2F60E" w14:textId="77777777" w:rsidR="003A17A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Revisado: </w:t>
          </w:r>
        </w:p>
        <w:p w14:paraId="693668C0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Página 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begin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instrText xml:space="preserve"> PAGE </w:instrTex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separate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>1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end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 de 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begin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instrText xml:space="preserve"> NUMPAGES </w:instrTex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separate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>1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end"/>
          </w:r>
        </w:p>
      </w:tc>
    </w:tr>
  </w:tbl>
  <w:p w14:paraId="28C27697" w14:textId="7C0F9F0D" w:rsidR="001C7666" w:rsidRPr="001C7666" w:rsidRDefault="001C7666" w:rsidP="003A17A4">
    <w:pPr>
      <w:spacing w:after="60" w:line="276" w:lineRule="auto"/>
      <w:ind w:right="418"/>
      <w:rPr>
        <w:rFonts w:ascii="Calibri" w:eastAsia="Yu Gothic UI" w:hAnsi="Calibri" w:cs="Arial"/>
        <w:b/>
        <w:color w:val="8496B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837D6"/>
    <w:multiLevelType w:val="hybridMultilevel"/>
    <w:tmpl w:val="6C160D72"/>
    <w:lvl w:ilvl="0" w:tplc="A62EC59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250202FA">
      <w:start w:val="2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64C81"/>
    <w:multiLevelType w:val="multilevel"/>
    <w:tmpl w:val="24DC54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A9B266C"/>
    <w:multiLevelType w:val="hybridMultilevel"/>
    <w:tmpl w:val="C65C4F48"/>
    <w:lvl w:ilvl="0" w:tplc="CB54FF1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213A7"/>
    <w:multiLevelType w:val="multilevel"/>
    <w:tmpl w:val="1E76F2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3C83ED9"/>
    <w:multiLevelType w:val="hybridMultilevel"/>
    <w:tmpl w:val="39AE3B0E"/>
    <w:lvl w:ilvl="0" w:tplc="A776D4B2">
      <w:start w:val="5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" w15:restartNumberingAfterBreak="0">
    <w:nsid w:val="48FC3B68"/>
    <w:multiLevelType w:val="multilevel"/>
    <w:tmpl w:val="1E76F2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A02660B"/>
    <w:multiLevelType w:val="multilevel"/>
    <w:tmpl w:val="1E32CE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BA437C8"/>
    <w:multiLevelType w:val="hybridMultilevel"/>
    <w:tmpl w:val="9CA054B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003866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  <w:color w:val="auto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F616DDF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434519801">
    <w:abstractNumId w:val="8"/>
  </w:num>
  <w:num w:numId="2" w16cid:durableId="1419405445">
    <w:abstractNumId w:val="7"/>
  </w:num>
  <w:num w:numId="3" w16cid:durableId="473445384">
    <w:abstractNumId w:val="4"/>
  </w:num>
  <w:num w:numId="4" w16cid:durableId="1028800096">
    <w:abstractNumId w:val="0"/>
  </w:num>
  <w:num w:numId="5" w16cid:durableId="1466004534">
    <w:abstractNumId w:val="3"/>
  </w:num>
  <w:num w:numId="6" w16cid:durableId="574314422">
    <w:abstractNumId w:val="6"/>
  </w:num>
  <w:num w:numId="7" w16cid:durableId="1705056673">
    <w:abstractNumId w:val="1"/>
  </w:num>
  <w:num w:numId="8" w16cid:durableId="266039772">
    <w:abstractNumId w:val="2"/>
  </w:num>
  <w:num w:numId="9" w16cid:durableId="776291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E9B"/>
    <w:rsid w:val="00021547"/>
    <w:rsid w:val="00072A5A"/>
    <w:rsid w:val="000A3505"/>
    <w:rsid w:val="000B72D8"/>
    <w:rsid w:val="00172A0F"/>
    <w:rsid w:val="00185051"/>
    <w:rsid w:val="001C5A5B"/>
    <w:rsid w:val="001C7666"/>
    <w:rsid w:val="001E2753"/>
    <w:rsid w:val="001F03C9"/>
    <w:rsid w:val="0021104A"/>
    <w:rsid w:val="00272078"/>
    <w:rsid w:val="002903E2"/>
    <w:rsid w:val="002D7E6D"/>
    <w:rsid w:val="002E7726"/>
    <w:rsid w:val="00330A46"/>
    <w:rsid w:val="00332464"/>
    <w:rsid w:val="00342272"/>
    <w:rsid w:val="003A17A4"/>
    <w:rsid w:val="003B5FBE"/>
    <w:rsid w:val="003B70F4"/>
    <w:rsid w:val="003D670D"/>
    <w:rsid w:val="003D6CE9"/>
    <w:rsid w:val="00403765"/>
    <w:rsid w:val="004556DF"/>
    <w:rsid w:val="00487546"/>
    <w:rsid w:val="004B2C76"/>
    <w:rsid w:val="004B3787"/>
    <w:rsid w:val="004D0F88"/>
    <w:rsid w:val="004D447C"/>
    <w:rsid w:val="004F0B2C"/>
    <w:rsid w:val="00592403"/>
    <w:rsid w:val="006250CD"/>
    <w:rsid w:val="00625E9B"/>
    <w:rsid w:val="00655447"/>
    <w:rsid w:val="00694D38"/>
    <w:rsid w:val="006F0422"/>
    <w:rsid w:val="006F5274"/>
    <w:rsid w:val="00742C97"/>
    <w:rsid w:val="007E27D8"/>
    <w:rsid w:val="00804309"/>
    <w:rsid w:val="00862863"/>
    <w:rsid w:val="008764E3"/>
    <w:rsid w:val="00975833"/>
    <w:rsid w:val="009767C2"/>
    <w:rsid w:val="0099206F"/>
    <w:rsid w:val="009B2DB7"/>
    <w:rsid w:val="009C0822"/>
    <w:rsid w:val="009E7288"/>
    <w:rsid w:val="009F65E7"/>
    <w:rsid w:val="00A46F51"/>
    <w:rsid w:val="00A55BF5"/>
    <w:rsid w:val="00A8403A"/>
    <w:rsid w:val="00B241FD"/>
    <w:rsid w:val="00BD4147"/>
    <w:rsid w:val="00C45FF3"/>
    <w:rsid w:val="00C925F6"/>
    <w:rsid w:val="00C943CC"/>
    <w:rsid w:val="00CD0188"/>
    <w:rsid w:val="00CD7FA6"/>
    <w:rsid w:val="00D053C8"/>
    <w:rsid w:val="00D42642"/>
    <w:rsid w:val="00DB538A"/>
    <w:rsid w:val="00E00575"/>
    <w:rsid w:val="00E1444B"/>
    <w:rsid w:val="00E42060"/>
    <w:rsid w:val="00E44E53"/>
    <w:rsid w:val="00E50C3A"/>
    <w:rsid w:val="00EB7981"/>
    <w:rsid w:val="00EE3FBC"/>
    <w:rsid w:val="00F174FF"/>
    <w:rsid w:val="00F51BEE"/>
    <w:rsid w:val="00F9075A"/>
    <w:rsid w:val="00F92D6B"/>
    <w:rsid w:val="00FC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60C8D0"/>
  <w15:chartTrackingRefBased/>
  <w15:docId w15:val="{E93FD549-C8A6-4673-908F-62397DE47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F0422"/>
    <w:rPr>
      <w:sz w:val="24"/>
      <w:szCs w:val="24"/>
      <w:lang w:eastAsia="es-ES"/>
    </w:rPr>
  </w:style>
  <w:style w:type="paragraph" w:styleId="Ttulo3">
    <w:name w:val="heading 3"/>
    <w:basedOn w:val="Normal"/>
    <w:next w:val="Normal"/>
    <w:qFormat/>
    <w:rsid w:val="006F0422"/>
    <w:pPr>
      <w:keepNext/>
      <w:spacing w:line="360" w:lineRule="atLeast"/>
      <w:ind w:left="708" w:hanging="708"/>
      <w:jc w:val="both"/>
      <w:outlineLvl w:val="2"/>
    </w:pPr>
    <w:rPr>
      <w:szCs w:val="20"/>
      <w:lang w:val="es-ES"/>
    </w:rPr>
  </w:style>
  <w:style w:type="paragraph" w:styleId="Ttulo4">
    <w:name w:val="heading 4"/>
    <w:basedOn w:val="Normal"/>
    <w:next w:val="Normal"/>
    <w:qFormat/>
    <w:rsid w:val="006F0422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6F04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6F042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6F0422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A55BF5"/>
    <w:rPr>
      <w:rFonts w:ascii="Tahoma" w:hAnsi="Tahoma" w:cs="Tahoma"/>
      <w:sz w:val="16"/>
      <w:szCs w:val="16"/>
    </w:rPr>
  </w:style>
  <w:style w:type="character" w:styleId="Refdecomentario">
    <w:name w:val="annotation reference"/>
    <w:semiHidden/>
    <w:rsid w:val="00403765"/>
    <w:rPr>
      <w:sz w:val="16"/>
      <w:szCs w:val="16"/>
    </w:rPr>
  </w:style>
  <w:style w:type="paragraph" w:styleId="Textocomentario">
    <w:name w:val="annotation text"/>
    <w:basedOn w:val="Normal"/>
    <w:semiHidden/>
    <w:rsid w:val="0040376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403765"/>
    <w:rPr>
      <w:b/>
      <w:bCs/>
    </w:rPr>
  </w:style>
  <w:style w:type="character" w:styleId="Hipervnculo">
    <w:name w:val="Hyperlink"/>
    <w:uiPriority w:val="99"/>
    <w:unhideWhenUsed/>
    <w:rsid w:val="00C943CC"/>
    <w:rPr>
      <w:color w:val="0563C1"/>
      <w:u w:val="single"/>
    </w:rPr>
  </w:style>
  <w:style w:type="character" w:customStyle="1" w:styleId="PiedepginaCar">
    <w:name w:val="Pie de página Car"/>
    <w:link w:val="Piedepgina"/>
    <w:uiPriority w:val="99"/>
    <w:rsid w:val="00DB538A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E6A1E-DC2B-F74D-B14F-5027CBDD0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PROCEDIMIENTO PARA TRABAJOS EN ALTURA FISICA</vt:lpstr>
    </vt:vector>
  </TitlesOfParts>
  <Company>Universidad Catolica de Chile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PARA TRABAJOS EN ALTURA FISICA</dc:title>
  <dc:subject/>
  <dc:creator>Depto de Prevencion Puc</dc:creator>
  <cp:keywords/>
  <dc:description/>
  <cp:lastModifiedBy>Verónica Elisa Arenas Morales</cp:lastModifiedBy>
  <cp:revision>2</cp:revision>
  <cp:lastPrinted>2011-09-05T15:16:00Z</cp:lastPrinted>
  <dcterms:created xsi:type="dcterms:W3CDTF">2023-04-21T16:05:00Z</dcterms:created>
  <dcterms:modified xsi:type="dcterms:W3CDTF">2023-04-21T16:05:00Z</dcterms:modified>
</cp:coreProperties>
</file>