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0" w:after="40"/>
        <w:jc w:val="center"/>
      </w:pPr>
      <w:r>
        <w:rPr>
          <w:rFonts w:ascii="Calibri" w:hAnsi="Calibri"/>
          <w:b/>
          <w:i w:val="0"/>
          <w:sz w:val="28"/>
        </w:rPr>
        <w:t>Fichas resumen de seguridad de reactivos – AIUC</w:t>
      </w:r>
    </w:p>
    <w:p>
      <w:pPr>
        <w:spacing w:before="0" w:after="160"/>
        <w:jc w:val="center"/>
      </w:pPr>
      <w:r>
        <w:rPr>
          <w:rFonts w:ascii="Calibri" w:hAnsi="Calibri"/>
          <w:b w:val="0"/>
          <w:i/>
          <w:sz w:val="18"/>
        </w:rPr>
        <w:t>Resumen de las Hojas de Datos de Seguridad (FDS) del inventario. No reemplaza a la FDS completa, que debe consultarse antes del primer uso.</w:t>
      </w:r>
    </w:p>
    <w:tbl>
      <w:tblPr>
        <w:tblStyle w:val="Tablaconcuadrcula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  <w:shd w:val="clear" w:color="auto" w:fill="C00000"/>
          </w:tcPr>
          <w:p>
            <w:pPr>
              <w:spacing w:after="20" w:before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ÁCIDO SULFÚRICO CONCENTRADO 98 %</w:t>
            </w:r>
          </w:p>
        </w:tc>
      </w:tr>
    </w:tbl>
    <w:tbl>
      <w:tblPr>
        <w:tblStyle w:val="Tablaconcuadrcula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3005"/>
        <w:gridCol w:w="1984"/>
        <w:gridCol w:w="2835"/>
      </w:tblGrid>
      <w:tr>
        <w:tc>
          <w:tcPr>
            <w:tcW w:type="dxa" w:w="1814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Fórmula</w:t>
            </w:r>
          </w:p>
        </w:tc>
        <w:tc>
          <w:tcPr>
            <w:tcW w:type="dxa" w:w="3005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H₂SO₄</w:t>
            </w:r>
          </w:p>
        </w:tc>
        <w:tc>
          <w:tcPr>
            <w:tcW w:type="dxa" w:w="1984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N° CAS</w:t>
            </w:r>
          </w:p>
        </w:tc>
        <w:tc>
          <w:tcPr>
            <w:tcW w:type="dxa" w:w="2835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7664-93-9</w:t>
            </w:r>
          </w:p>
        </w:tc>
      </w:tr>
      <w:tr>
        <w:tc>
          <w:tcPr>
            <w:tcW w:type="dxa" w:w="1814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N° UN / clase</w:t>
            </w:r>
          </w:p>
        </w:tc>
        <w:tc>
          <w:tcPr>
            <w:tcW w:type="dxa" w:w="3005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1830 · Clase 8 · GE II</w:t>
            </w:r>
          </w:p>
        </w:tc>
        <w:tc>
          <w:tcPr>
            <w:tcW w:type="dxa" w:w="1984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Cantidad en inventario</w:t>
            </w:r>
          </w:p>
        </w:tc>
        <w:tc>
          <w:tcPr>
            <w:tcW w:type="dxa" w:w="2835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3 L</w:t>
            </w:r>
          </w:p>
        </w:tc>
      </w:tr>
      <w:tr>
        <w:tc>
          <w:tcPr>
            <w:tcW w:type="dxa" w:w="1814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Proveedor FDS</w:t>
            </w:r>
          </w:p>
        </w:tc>
        <w:tc>
          <w:tcPr>
            <w:tcW w:type="dxa" w:w="3005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Bioquimica.cl (FDS NCh 2245)</w:t>
            </w:r>
          </w:p>
        </w:tc>
        <w:tc>
          <w:tcPr>
            <w:tcW w:type="dxa" w:w="1984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Palabra de advertencia</w:t>
            </w:r>
          </w:p>
        </w:tc>
        <w:tc>
          <w:tcPr>
            <w:tcW w:type="dxa" w:w="2835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PELIGRO</w:t>
            </w:r>
          </w:p>
        </w:tc>
      </w:tr>
    </w:tbl>
    <w:tbl>
      <w:tblPr>
        <w:tblStyle w:val="Tablaconcuadrcula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257"/>
      </w:tblGrid>
      <w:tr>
        <w:tc>
          <w:tcPr>
            <w:tcW w:type="dxa" w:w="2381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Pictogramas GHS</w:t>
            </w:r>
          </w:p>
        </w:tc>
        <w:tc>
          <w:tcPr>
            <w:tcW w:type="dxa" w:w="7257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color w:val="C00000"/>
                <w:sz w:val="20"/>
              </w:rPr>
              <w:t>GHS05 Corrosivo</w:t>
            </w:r>
          </w:p>
        </w:tc>
      </w:tr>
      <w:tr>
        <w:tc>
          <w:tcPr>
            <w:tcW w:type="dxa" w:w="2381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Indicaciones de peligro</w:t>
            </w:r>
          </w:p>
        </w:tc>
        <w:tc>
          <w:tcPr>
            <w:tcW w:type="dxa" w:w="7257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H290 Puede ser corrosivo para los metales.</w:t>
            </w:r>
          </w:p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H314 Provoca quemaduras graves en la piel y lesiones oculares graves.</w:t>
            </w:r>
          </w:p>
        </w:tc>
      </w:tr>
      <w:tr>
        <w:tc>
          <w:tcPr>
            <w:tcW w:type="dxa" w:w="2381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NFPA (FDS proveedor)</w:t>
            </w:r>
          </w:p>
        </w:tc>
        <w:tc>
          <w:tcPr>
            <w:tcW w:type="dxa" w:w="7257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Salud 3 · Inflamabilidad 0 · Reactividad 2</w:t>
            </w:r>
          </w:p>
        </w:tc>
      </w:tr>
      <w:tr>
        <w:tc>
          <w:tcPr>
            <w:tcW w:type="dxa" w:w="2381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EPP y control de exposición</w:t>
            </w:r>
          </w:p>
        </w:tc>
        <w:tc>
          <w:tcPr>
            <w:tcW w:type="dxa" w:w="7257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Bata + delantal químico; guantes de butilo, Viton o PVC; gafas herméticas + protector facial; trabajar bajo campana. LPP ponderado 0,8 mg/m³; temporal 3,0 mg/m³.</w:t>
            </w:r>
          </w:p>
        </w:tc>
      </w:tr>
      <w:tr>
        <w:tc>
          <w:tcPr>
            <w:tcW w:type="dxa" w:w="2381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Manipulación y almacenamiento</w:t>
            </w:r>
          </w:p>
        </w:tc>
        <w:tc>
          <w:tcPr>
            <w:tcW w:type="dxa" w:w="7257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Siempre agregar ácido sobre agua, lentamente. Trasvasijar bajo campana, con el envase apoyado. Mantener envase de vidrio cerrado y rotulado, en lugar fresco, seco, ventilado, con contención de derrames y protegido de la luz solar.</w:t>
            </w:r>
          </w:p>
        </w:tc>
      </w:tr>
      <w:tr>
        <w:tc>
          <w:tcPr>
            <w:tcW w:type="dxa" w:w="2381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Incompatibilidades</w:t>
            </w:r>
          </w:p>
        </w:tc>
        <w:tc>
          <w:tcPr>
            <w:tcW w:type="dxa" w:w="7257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Bases fuertes (NaOH: reacción violenta), metales (H₂), agua (calor), reductores, oxidantes, aldehídos, cianuros y sulfuros (HCN/H₂S), solventes orgánicos.</w:t>
            </w:r>
          </w:p>
        </w:tc>
      </w:tr>
      <w:tr>
        <w:tc>
          <w:tcPr>
            <w:tcW w:type="dxa" w:w="2381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Primeros auxilios</w:t>
            </w:r>
          </w:p>
        </w:tc>
        <w:tc>
          <w:tcPr>
            <w:tcW w:type="dxa" w:w="7257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Piel: ducha de emergencia, retirar ropa, lavar ≥ 20 min. Ojos: lavaojos ≥ 20 min, atención médica urgente. Inhalación: aire fresco; oxígeno si respira con dificultad. Ingestión: enjuagar boca, dar 240–300 mL de agua, NO inducir vómito, atención médica inmediata.</w:t>
            </w:r>
          </w:p>
        </w:tc>
      </w:tr>
      <w:tr>
        <w:tc>
          <w:tcPr>
            <w:tcW w:type="dxa" w:w="2381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Derrame</w:t>
            </w:r>
          </w:p>
        </w:tc>
        <w:tc>
          <w:tcPr>
            <w:tcW w:type="dxa" w:w="7257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Evacuar y ventilar; EPP completo. Contener con absorbente, neutralizar con carbonato/bicarbonato de sodio (o arena), recoger en contenedor rotulado. No al desagüe.</w:t>
            </w:r>
          </w:p>
        </w:tc>
      </w:tr>
      <w:tr>
        <w:tc>
          <w:tcPr>
            <w:tcW w:type="dxa" w:w="2381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Eliminación</w:t>
            </w:r>
          </w:p>
        </w:tc>
        <w:tc>
          <w:tcPr>
            <w:tcW w:type="dxa" w:w="7257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Residuo peligroso. Dentro del baño de cobre: bidón «Residuos acuosos ácidos con metales». Gestionar con empresa autorizada (Laboratorio Seguro/DPR).</w:t>
            </w:r>
          </w:p>
        </w:tc>
      </w:tr>
      <w:tr>
        <w:tc>
          <w:tcPr>
            <w:tcW w:type="dxa" w:w="2381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Uso en procedimientos</w:t>
            </w:r>
          </w:p>
        </w:tc>
        <w:tc>
          <w:tcPr>
            <w:tcW w:type="dxa" w:w="7257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PTS-03, PTS-04 (baño electrolítico).</w:t>
            </w:r>
          </w:p>
        </w:tc>
      </w:tr>
    </w:tbl>
    <w:p>
      <w:pPr>
        <w:spacing w:before="120" w:after="0"/>
        <w:jc w:val="center"/>
      </w:pPr>
      <w:r>
        <w:rPr>
          <w:rFonts w:ascii="Calibri" w:hAnsi="Calibri"/>
          <w:b/>
          <w:i w:val="0"/>
          <w:sz w:val="18"/>
        </w:rPr>
        <w:t>Emergencias UC: anexo 5000 · CITUC (Centro de Información Toxicológica UC): 2 2635 3800</w:t>
      </w:r>
    </w:p>
    <w:p>
      <w:r>
        <w:br w:type="page"/>
      </w:r>
    </w:p>
    <w:tbl>
      <w:tblPr>
        <w:tblStyle w:val="Tablaconcuadrcula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  <w:shd w:val="clear" w:color="auto" w:fill="E36C09"/>
          </w:tcPr>
          <w:p>
            <w:pPr>
              <w:spacing w:after="20" w:before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SULFATO DE COBRE PENTAHIDRATADO</w:t>
            </w:r>
          </w:p>
        </w:tc>
      </w:tr>
    </w:tbl>
    <w:tbl>
      <w:tblPr>
        <w:tblStyle w:val="Tablaconcuadrcula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3005"/>
        <w:gridCol w:w="1984"/>
        <w:gridCol w:w="2835"/>
      </w:tblGrid>
      <w:tr>
        <w:tc>
          <w:tcPr>
            <w:tcW w:type="dxa" w:w="1814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Fórmula</w:t>
            </w:r>
          </w:p>
        </w:tc>
        <w:tc>
          <w:tcPr>
            <w:tcW w:type="dxa" w:w="3005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CuSO₄·5H₂O</w:t>
            </w:r>
          </w:p>
        </w:tc>
        <w:tc>
          <w:tcPr>
            <w:tcW w:type="dxa" w:w="1984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N° CAS</w:t>
            </w:r>
          </w:p>
        </w:tc>
        <w:tc>
          <w:tcPr>
            <w:tcW w:type="dxa" w:w="2835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7758-98-7</w:t>
            </w:r>
          </w:p>
        </w:tc>
      </w:tr>
      <w:tr>
        <w:tc>
          <w:tcPr>
            <w:tcW w:type="dxa" w:w="1814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N° UN / clase</w:t>
            </w:r>
          </w:p>
        </w:tc>
        <w:tc>
          <w:tcPr>
            <w:tcW w:type="dxa" w:w="3005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3077 · Clase 9 · GE III</w:t>
            </w:r>
          </w:p>
        </w:tc>
        <w:tc>
          <w:tcPr>
            <w:tcW w:type="dxa" w:w="1984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Cantidad en inventario</w:t>
            </w:r>
          </w:p>
        </w:tc>
        <w:tc>
          <w:tcPr>
            <w:tcW w:type="dxa" w:w="2835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2 kg</w:t>
            </w:r>
          </w:p>
        </w:tc>
      </w:tr>
      <w:tr>
        <w:tc>
          <w:tcPr>
            <w:tcW w:type="dxa" w:w="1814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Proveedor FDS</w:t>
            </w:r>
          </w:p>
        </w:tc>
        <w:tc>
          <w:tcPr>
            <w:tcW w:type="dxa" w:w="3005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Bioquimica.cl (FDS NCh 2245)</w:t>
            </w:r>
          </w:p>
        </w:tc>
        <w:tc>
          <w:tcPr>
            <w:tcW w:type="dxa" w:w="1984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Palabra de advertencia</w:t>
            </w:r>
          </w:p>
        </w:tc>
        <w:tc>
          <w:tcPr>
            <w:tcW w:type="dxa" w:w="2835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ATENCIÓN</w:t>
            </w:r>
          </w:p>
        </w:tc>
      </w:tr>
    </w:tbl>
    <w:tbl>
      <w:tblPr>
        <w:tblStyle w:val="Tablaconcuadrcula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257"/>
      </w:tblGrid>
      <w:tr>
        <w:tc>
          <w:tcPr>
            <w:tcW w:type="dxa" w:w="2381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Pictogramas GHS</w:t>
            </w:r>
          </w:p>
        </w:tc>
        <w:tc>
          <w:tcPr>
            <w:tcW w:type="dxa" w:w="7257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color w:val="E36C09"/>
                <w:sz w:val="20"/>
              </w:rPr>
              <w:t>GHS07 Nocivo/Irritante · GHS09 Peligro ambiental</w:t>
            </w:r>
          </w:p>
        </w:tc>
      </w:tr>
      <w:tr>
        <w:tc>
          <w:tcPr>
            <w:tcW w:type="dxa" w:w="2381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Indicaciones de peligro</w:t>
            </w:r>
          </w:p>
        </w:tc>
        <w:tc>
          <w:tcPr>
            <w:tcW w:type="dxa" w:w="7257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H302 Nocivo en caso de ingestión.</w:t>
            </w:r>
          </w:p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H315 Provoca irritación cutánea.</w:t>
            </w:r>
          </w:p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H319 Provoca irritación ocular grave.</w:t>
            </w:r>
          </w:p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H332 Nocivo en caso de inhalación (FDS proveedor).</w:t>
            </w:r>
          </w:p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H410 Muy tóxico para los organismos acuáticos, con efectos duraderos.</w:t>
            </w:r>
          </w:p>
        </w:tc>
      </w:tr>
      <w:tr>
        <w:tc>
          <w:tcPr>
            <w:tcW w:type="dxa" w:w="2381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NFPA (FDS proveedor)</w:t>
            </w:r>
          </w:p>
        </w:tc>
        <w:tc>
          <w:tcPr>
            <w:tcW w:type="dxa" w:w="7257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Salud 2 · Inflamabilidad 0 · Reactividad 0</w:t>
            </w:r>
          </w:p>
        </w:tc>
      </w:tr>
      <w:tr>
        <w:tc>
          <w:tcPr>
            <w:tcW w:type="dxa" w:w="2381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EPP y control de exposición</w:t>
            </w:r>
          </w:p>
        </w:tc>
        <w:tc>
          <w:tcPr>
            <w:tcW w:type="dxa" w:w="7257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Bata, guantes de nitrilo, gafas de seguridad. Evitar generar polvo; mascarilla N95/P2 si se genera.</w:t>
            </w:r>
          </w:p>
        </w:tc>
      </w:tr>
      <w:tr>
        <w:tc>
          <w:tcPr>
            <w:tcW w:type="dxa" w:w="2381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Manipulación y almacenamiento</w:t>
            </w:r>
          </w:p>
        </w:tc>
        <w:tc>
          <w:tcPr>
            <w:tcW w:type="dxa" w:w="7257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Pesar sin levantar polvo. Mantener bien cerrado y seco. Evitar calentamiento fuerte (libera óxidos de azufre).</w:t>
            </w:r>
          </w:p>
        </w:tc>
      </w:tr>
      <w:tr>
        <w:tc>
          <w:tcPr>
            <w:tcW w:type="dxa" w:w="2381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Incompatibilidades</w:t>
            </w:r>
          </w:p>
        </w:tc>
        <w:tc>
          <w:tcPr>
            <w:tcW w:type="dxa" w:w="7257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Oxidantes fuertes, hidroxilamina, magnesio.</w:t>
            </w:r>
          </w:p>
        </w:tc>
      </w:tr>
      <w:tr>
        <w:tc>
          <w:tcPr>
            <w:tcW w:type="dxa" w:w="2381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Primeros auxilios</w:t>
            </w:r>
          </w:p>
        </w:tc>
        <w:tc>
          <w:tcPr>
            <w:tcW w:type="dxa" w:w="7257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Piel: retirar ropa contaminada y lavar con abundante agua. Ojos: lavar con abundante agua, consultar oftalmólogo. Inhalación: aire fresco. Ingestión: beber agua (máx. 2 vasos), consultar médico.</w:t>
            </w:r>
          </w:p>
        </w:tc>
      </w:tr>
      <w:tr>
        <w:tc>
          <w:tcPr>
            <w:tcW w:type="dxa" w:w="2381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Derrame</w:t>
            </w:r>
          </w:p>
        </w:tc>
        <w:tc>
          <w:tcPr>
            <w:tcW w:type="dxa" w:w="7257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Evitar polvo y contacto; ventilar. Barrer/recoger en seco en contenedor rotulado. No al desagüe.</w:t>
            </w:r>
          </w:p>
        </w:tc>
      </w:tr>
      <w:tr>
        <w:tc>
          <w:tcPr>
            <w:tcW w:type="dxa" w:w="2381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Eliminación</w:t>
            </w:r>
          </w:p>
        </w:tc>
        <w:tc>
          <w:tcPr>
            <w:tcW w:type="dxa" w:w="7257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Residuo con metal pesado: no mezclar con otros residuos; bidón «Residuos con metales (Cu)».</w:t>
            </w:r>
          </w:p>
        </w:tc>
      </w:tr>
      <w:tr>
        <w:tc>
          <w:tcPr>
            <w:tcW w:type="dxa" w:w="2381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Uso en procedimientos</w:t>
            </w:r>
          </w:p>
        </w:tc>
        <w:tc>
          <w:tcPr>
            <w:tcW w:type="dxa" w:w="7257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PTS-03, PTS-04.</w:t>
            </w:r>
          </w:p>
        </w:tc>
      </w:tr>
    </w:tbl>
    <w:p>
      <w:pPr>
        <w:spacing w:before="120" w:after="0"/>
        <w:jc w:val="center"/>
      </w:pPr>
      <w:r>
        <w:rPr>
          <w:rFonts w:ascii="Calibri" w:hAnsi="Calibri"/>
          <w:b/>
          <w:i w:val="0"/>
          <w:sz w:val="18"/>
        </w:rPr>
        <w:t>Emergencias UC: anexo 5000 · CITUC (Centro de Información Toxicológica UC): 2 2635 3800</w:t>
      </w:r>
    </w:p>
    <w:p>
      <w:r>
        <w:br w:type="page"/>
      </w:r>
    </w:p>
    <w:tbl>
      <w:tblPr>
        <w:tblStyle w:val="Tablaconcuadrcula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  <w:shd w:val="clear" w:color="auto" w:fill="C00000"/>
          </w:tcPr>
          <w:p>
            <w:pPr>
              <w:spacing w:after="20" w:before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HIDRÓXIDO DE SODIO 1 M</w:t>
            </w:r>
          </w:p>
        </w:tc>
      </w:tr>
    </w:tbl>
    <w:tbl>
      <w:tblPr>
        <w:tblStyle w:val="Tablaconcuadrcula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3005"/>
        <w:gridCol w:w="1984"/>
        <w:gridCol w:w="2835"/>
      </w:tblGrid>
      <w:tr>
        <w:tc>
          <w:tcPr>
            <w:tcW w:type="dxa" w:w="1814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Fórmula</w:t>
            </w:r>
          </w:p>
        </w:tc>
        <w:tc>
          <w:tcPr>
            <w:tcW w:type="dxa" w:w="3005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NaOH (solución ≈ 4 %)</w:t>
            </w:r>
          </w:p>
        </w:tc>
        <w:tc>
          <w:tcPr>
            <w:tcW w:type="dxa" w:w="1984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N° CAS</w:t>
            </w:r>
          </w:p>
        </w:tc>
        <w:tc>
          <w:tcPr>
            <w:tcW w:type="dxa" w:w="2835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1310-73-2</w:t>
            </w:r>
          </w:p>
        </w:tc>
      </w:tr>
      <w:tr>
        <w:tc>
          <w:tcPr>
            <w:tcW w:type="dxa" w:w="1814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N° UN / clase</w:t>
            </w:r>
          </w:p>
        </w:tc>
        <w:tc>
          <w:tcPr>
            <w:tcW w:type="dxa" w:w="3005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1824 · Clase 8 · GE II</w:t>
            </w:r>
          </w:p>
        </w:tc>
        <w:tc>
          <w:tcPr>
            <w:tcW w:type="dxa" w:w="1984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Cantidad en inventario</w:t>
            </w:r>
          </w:p>
        </w:tc>
        <w:tc>
          <w:tcPr>
            <w:tcW w:type="dxa" w:w="2835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1 kg</w:t>
            </w:r>
          </w:p>
        </w:tc>
      </w:tr>
      <w:tr>
        <w:tc>
          <w:tcPr>
            <w:tcW w:type="dxa" w:w="1814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Proveedor FDS</w:t>
            </w:r>
          </w:p>
        </w:tc>
        <w:tc>
          <w:tcPr>
            <w:tcW w:type="dxa" w:w="3005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Bioquimica.cl (FDS NCh 2245)</w:t>
            </w:r>
          </w:p>
        </w:tc>
        <w:tc>
          <w:tcPr>
            <w:tcW w:type="dxa" w:w="1984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Palabra de advertencia</w:t>
            </w:r>
          </w:p>
        </w:tc>
        <w:tc>
          <w:tcPr>
            <w:tcW w:type="dxa" w:w="2835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PELIGRO</w:t>
            </w:r>
          </w:p>
        </w:tc>
      </w:tr>
    </w:tbl>
    <w:tbl>
      <w:tblPr>
        <w:tblStyle w:val="Tablaconcuadrcula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257"/>
      </w:tblGrid>
      <w:tr>
        <w:tc>
          <w:tcPr>
            <w:tcW w:type="dxa" w:w="2381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Pictogramas GHS</w:t>
            </w:r>
          </w:p>
        </w:tc>
        <w:tc>
          <w:tcPr>
            <w:tcW w:type="dxa" w:w="7257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color w:val="C00000"/>
                <w:sz w:val="20"/>
              </w:rPr>
              <w:t>GHS05 Corrosivo</w:t>
            </w:r>
          </w:p>
        </w:tc>
      </w:tr>
      <w:tr>
        <w:tc>
          <w:tcPr>
            <w:tcW w:type="dxa" w:w="2381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Indicaciones de peligro</w:t>
            </w:r>
          </w:p>
        </w:tc>
        <w:tc>
          <w:tcPr>
            <w:tcW w:type="dxa" w:w="7257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H290 Puede ser corrosivo para los metales.</w:t>
            </w:r>
          </w:p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H314 Provoca quemaduras graves en la piel y lesiones oculares graves.</w:t>
            </w:r>
          </w:p>
        </w:tc>
      </w:tr>
      <w:tr>
        <w:tc>
          <w:tcPr>
            <w:tcW w:type="dxa" w:w="2381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NFPA (FDS proveedor)</w:t>
            </w:r>
          </w:p>
        </w:tc>
        <w:tc>
          <w:tcPr>
            <w:tcW w:type="dxa" w:w="7257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Salud 3 · Inflamabilidad 0 · Reactividad 1</w:t>
            </w:r>
          </w:p>
        </w:tc>
      </w:tr>
      <w:tr>
        <w:tc>
          <w:tcPr>
            <w:tcW w:type="dxa" w:w="2381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EPP y control de exposición</w:t>
            </w:r>
          </w:p>
        </w:tc>
        <w:tc>
          <w:tcPr>
            <w:tcW w:type="dxa" w:w="7257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Bata, guantes de nitrilo o neopreno, gafas con protección lateral (herméticas si hay riesgo de salpicadura). Duchas y lavaojos disponibles.</w:t>
            </w:r>
          </w:p>
        </w:tc>
      </w:tr>
      <w:tr>
        <w:tc>
          <w:tcPr>
            <w:tcW w:type="dxa" w:w="2381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Manipulación y almacenamiento</w:t>
            </w:r>
          </w:p>
        </w:tc>
        <w:tc>
          <w:tcPr>
            <w:tcW w:type="dxa" w:w="7257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Usar las menores cantidades posibles. Envase cerrado, rotulado, en bandeja de corrosivos básicos separada de los ácidos.</w:t>
            </w:r>
          </w:p>
        </w:tc>
      </w:tr>
      <w:tr>
        <w:tc>
          <w:tcPr>
            <w:tcW w:type="dxa" w:w="2381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Incompatibilidades</w:t>
            </w:r>
          </w:p>
        </w:tc>
        <w:tc>
          <w:tcPr>
            <w:tcW w:type="dxa" w:w="7257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Ácidos (reacción violenta), compuestos orgánicos halogenados, nitrometano, aluminio, magnesio, estaño y zinc (liberan H₂), azúcares (CO).</w:t>
            </w:r>
          </w:p>
        </w:tc>
      </w:tr>
      <w:tr>
        <w:tc>
          <w:tcPr>
            <w:tcW w:type="dxa" w:w="2381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Primeros auxilios</w:t>
            </w:r>
          </w:p>
        </w:tc>
        <w:tc>
          <w:tcPr>
            <w:tcW w:type="dxa" w:w="7257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Piel: retirar ropa y lavar con abundante agua ≥ 15 min. Ojos: lavar ≥ 15 min separando párpados, atención médica. Inhalación: aire fresco. Ingestión: enjuagar y dar agua si está consciente, NO inducir vómito, atención médica inmediata.</w:t>
            </w:r>
          </w:p>
        </w:tc>
      </w:tr>
      <w:tr>
        <w:tc>
          <w:tcPr>
            <w:tcW w:type="dxa" w:w="2381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Derrame</w:t>
            </w:r>
          </w:p>
        </w:tc>
        <w:tc>
          <w:tcPr>
            <w:tcW w:type="dxa" w:w="7257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Aislar el área, EPP completo, contener con absorbente inerte y recoger en contenedor rotulado.</w:t>
            </w:r>
          </w:p>
        </w:tc>
      </w:tr>
      <w:tr>
        <w:tc>
          <w:tcPr>
            <w:tcW w:type="dxa" w:w="2381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Eliminación</w:t>
            </w:r>
          </w:p>
        </w:tc>
        <w:tc>
          <w:tcPr>
            <w:tcW w:type="dxa" w:w="7257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Residuo corrosivo básico: recipiente rotulado; gestionar con empresa autorizada. No neutralizar sin autorización.</w:t>
            </w:r>
          </w:p>
        </w:tc>
      </w:tr>
      <w:tr>
        <w:tc>
          <w:tcPr>
            <w:tcW w:type="dxa" w:w="2381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Uso en procedimientos</w:t>
            </w:r>
          </w:p>
        </w:tc>
        <w:tc>
          <w:tcPr>
            <w:tcW w:type="dxa" w:w="7257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Sin procedimiento asignado actualmente (disponible en inventario).</w:t>
            </w:r>
          </w:p>
        </w:tc>
      </w:tr>
      <w:tr>
        <w:tc>
          <w:tcPr>
            <w:tcW w:type="dxa" w:w="2381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Observaciones</w:t>
            </w:r>
          </w:p>
        </w:tc>
        <w:tc>
          <w:tcPr>
            <w:tcW w:type="dxa" w:w="7257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La FDS del proveedor describe propiedades del sólido en escamas; la solución 1 M es menos concentrada pero igualmente corrosiva.</w:t>
            </w:r>
          </w:p>
        </w:tc>
      </w:tr>
    </w:tbl>
    <w:p>
      <w:pPr>
        <w:spacing w:before="120" w:after="0"/>
        <w:jc w:val="center"/>
      </w:pPr>
      <w:r>
        <w:rPr>
          <w:rFonts w:ascii="Calibri" w:hAnsi="Calibri"/>
          <w:b/>
          <w:i w:val="0"/>
          <w:sz w:val="18"/>
        </w:rPr>
        <w:t>Emergencias UC: anexo 5000 · CITUC (Centro de Información Toxicológica UC): 2 2635 3800</w:t>
      </w:r>
    </w:p>
    <w:p>
      <w:r>
        <w:br w:type="page"/>
      </w:r>
    </w:p>
    <w:tbl>
      <w:tblPr>
        <w:tblStyle w:val="Tablaconcuadrcula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  <w:shd w:val="clear" w:color="auto" w:fill="C00000"/>
          </w:tcPr>
          <w:p>
            <w:pPr>
              <w:spacing w:after="20" w:before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ACETONA PURA</w:t>
            </w:r>
          </w:p>
        </w:tc>
      </w:tr>
    </w:tbl>
    <w:tbl>
      <w:tblPr>
        <w:tblStyle w:val="Tablaconcuadrcula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3005"/>
        <w:gridCol w:w="1984"/>
        <w:gridCol w:w="2835"/>
      </w:tblGrid>
      <w:tr>
        <w:tc>
          <w:tcPr>
            <w:tcW w:type="dxa" w:w="1814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Fórmula</w:t>
            </w:r>
          </w:p>
        </w:tc>
        <w:tc>
          <w:tcPr>
            <w:tcW w:type="dxa" w:w="3005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CH₃COCH₃</w:t>
            </w:r>
          </w:p>
        </w:tc>
        <w:tc>
          <w:tcPr>
            <w:tcW w:type="dxa" w:w="1984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N° CAS</w:t>
            </w:r>
          </w:p>
        </w:tc>
        <w:tc>
          <w:tcPr>
            <w:tcW w:type="dxa" w:w="2835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67-64-1</w:t>
            </w:r>
          </w:p>
        </w:tc>
      </w:tr>
      <w:tr>
        <w:tc>
          <w:tcPr>
            <w:tcW w:type="dxa" w:w="1814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N° UN / clase</w:t>
            </w:r>
          </w:p>
        </w:tc>
        <w:tc>
          <w:tcPr>
            <w:tcW w:type="dxa" w:w="3005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1090 · Clase 3 · GE II</w:t>
            </w:r>
          </w:p>
        </w:tc>
        <w:tc>
          <w:tcPr>
            <w:tcW w:type="dxa" w:w="1984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Cantidad en inventario</w:t>
            </w:r>
          </w:p>
        </w:tc>
        <w:tc>
          <w:tcPr>
            <w:tcW w:type="dxa" w:w="2835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1 L</w:t>
            </w:r>
          </w:p>
        </w:tc>
      </w:tr>
      <w:tr>
        <w:tc>
          <w:tcPr>
            <w:tcW w:type="dxa" w:w="1814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Proveedor FDS</w:t>
            </w:r>
          </w:p>
        </w:tc>
        <w:tc>
          <w:tcPr>
            <w:tcW w:type="dxa" w:w="3005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Bioquimica.cl (FDS NCh 2245)</w:t>
            </w:r>
          </w:p>
        </w:tc>
        <w:tc>
          <w:tcPr>
            <w:tcW w:type="dxa" w:w="1984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Palabra de advertencia</w:t>
            </w:r>
          </w:p>
        </w:tc>
        <w:tc>
          <w:tcPr>
            <w:tcW w:type="dxa" w:w="2835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PELIGRO</w:t>
            </w:r>
          </w:p>
        </w:tc>
      </w:tr>
    </w:tbl>
    <w:tbl>
      <w:tblPr>
        <w:tblStyle w:val="Tablaconcuadrcula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257"/>
      </w:tblGrid>
      <w:tr>
        <w:tc>
          <w:tcPr>
            <w:tcW w:type="dxa" w:w="2381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Pictogramas GHS</w:t>
            </w:r>
          </w:p>
        </w:tc>
        <w:tc>
          <w:tcPr>
            <w:tcW w:type="dxa" w:w="7257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color w:val="C00000"/>
                <w:sz w:val="20"/>
              </w:rPr>
              <w:t>GHS02 Inflamable · GHS07 Irritante</w:t>
            </w:r>
          </w:p>
        </w:tc>
      </w:tr>
      <w:tr>
        <w:tc>
          <w:tcPr>
            <w:tcW w:type="dxa" w:w="2381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Indicaciones de peligro</w:t>
            </w:r>
          </w:p>
        </w:tc>
        <w:tc>
          <w:tcPr>
            <w:tcW w:type="dxa" w:w="7257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H225 Líquido y vapores muy inflamables.</w:t>
            </w:r>
          </w:p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H319 Provoca irritación ocular grave.</w:t>
            </w:r>
          </w:p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H336 Puede provocar somnolencia o vértigo.</w:t>
            </w:r>
          </w:p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EUH066 La exposición repetida puede provocar sequedad o formación de grietas en la piel.</w:t>
            </w:r>
          </w:p>
        </w:tc>
      </w:tr>
      <w:tr>
        <w:tc>
          <w:tcPr>
            <w:tcW w:type="dxa" w:w="2381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NFPA (FDS proveedor)</w:t>
            </w:r>
          </w:p>
        </w:tc>
        <w:tc>
          <w:tcPr>
            <w:tcW w:type="dxa" w:w="7257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Salud 1 · Inflamabilidad 3 · Reactividad 0</w:t>
            </w:r>
          </w:p>
        </w:tc>
      </w:tr>
      <w:tr>
        <w:tc>
          <w:tcPr>
            <w:tcW w:type="dxa" w:w="2381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EPP y control de exposición</w:t>
            </w:r>
          </w:p>
        </w:tc>
        <w:tc>
          <w:tcPr>
            <w:tcW w:type="dxa" w:w="7257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Bata, gafas de seguridad, guantes de butilo (nitrilo solo para salpicaduras breves), trabajar bajo campana. LPP ponderado 1.210 mg/m³.</w:t>
            </w:r>
          </w:p>
        </w:tc>
      </w:tr>
      <w:tr>
        <w:tc>
          <w:tcPr>
            <w:tcW w:type="dxa" w:w="2381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Manipulación y almacenamiento</w:t>
            </w:r>
          </w:p>
        </w:tc>
        <w:tc>
          <w:tcPr>
            <w:tcW w:type="dxa" w:w="7257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Trabajar bajo campana, evitar vapores. Lejos de llamas, superficies calientes y chispas. Envase herméticamente cerrado en armario de inflamables.</w:t>
            </w:r>
          </w:p>
        </w:tc>
      </w:tr>
      <w:tr>
        <w:tc>
          <w:tcPr>
            <w:tcW w:type="dxa" w:w="2381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Incompatibilidades</w:t>
            </w:r>
          </w:p>
        </w:tc>
        <w:tc>
          <w:tcPr>
            <w:tcW w:type="dxa" w:w="7257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Oxidantes fuertes, ácido nítrico, ácido sulfúrico/cromosulfúrico, peróxidos, cloroformo, halógenos, metales e hidróxidos alcalinos.</w:t>
            </w:r>
          </w:p>
        </w:tc>
      </w:tr>
      <w:tr>
        <w:tc>
          <w:tcPr>
            <w:tcW w:type="dxa" w:w="2381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Primeros auxilios</w:t>
            </w:r>
          </w:p>
        </w:tc>
        <w:tc>
          <w:tcPr>
            <w:tcW w:type="dxa" w:w="7257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Piel: limpiar el exceso y lavar con agua ≥ 15 min. Ojos: lavar ≥ 15 min, atención médica. Inhalación: aire fresco, oxígeno si es necesario. Ingestión: enjuagar boca y acudir a centro de salud.</w:t>
            </w:r>
          </w:p>
        </w:tc>
      </w:tr>
      <w:tr>
        <w:tc>
          <w:tcPr>
            <w:tcW w:type="dxa" w:w="2381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Derrame</w:t>
            </w:r>
          </w:p>
        </w:tc>
        <w:tc>
          <w:tcPr>
            <w:tcW w:type="dxa" w:w="7257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Eliminar fuentes de ignición, ventilar, absorber con material inerte y recoger en envase cerrado.</w:t>
            </w:r>
          </w:p>
        </w:tc>
      </w:tr>
      <w:tr>
        <w:tc>
          <w:tcPr>
            <w:tcW w:type="dxa" w:w="2381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Eliminación</w:t>
            </w:r>
          </w:p>
        </w:tc>
        <w:tc>
          <w:tcPr>
            <w:tcW w:type="dxa" w:w="7257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Bidón «Residuos de solventes orgánicos no halogenados». No al desagüe.</w:t>
            </w:r>
          </w:p>
        </w:tc>
      </w:tr>
      <w:tr>
        <w:tc>
          <w:tcPr>
            <w:tcW w:type="dxa" w:w="2381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Uso en procedimientos</w:t>
            </w:r>
          </w:p>
        </w:tc>
        <w:tc>
          <w:tcPr>
            <w:tcW w:type="dxa" w:w="7257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PTS-01.</w:t>
            </w:r>
          </w:p>
        </w:tc>
      </w:tr>
      <w:tr>
        <w:tc>
          <w:tcPr>
            <w:tcW w:type="dxa" w:w="2381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Observaciones</w:t>
            </w:r>
          </w:p>
        </w:tc>
        <w:tc>
          <w:tcPr>
            <w:tcW w:type="dxa" w:w="7257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La FDS del proveedor indica H226/H242/H270/H315/H332, inconsistentes con su punto de inflamación (&lt; −20 °C). Se usa la clasificación GHS armonizada; verificar con una FDS actualizada.</w:t>
            </w:r>
          </w:p>
        </w:tc>
      </w:tr>
    </w:tbl>
    <w:p>
      <w:pPr>
        <w:spacing w:before="120" w:after="0"/>
        <w:jc w:val="center"/>
      </w:pPr>
      <w:r>
        <w:rPr>
          <w:rFonts w:ascii="Calibri" w:hAnsi="Calibri"/>
          <w:b/>
          <w:i w:val="0"/>
          <w:sz w:val="18"/>
        </w:rPr>
        <w:t>Emergencias UC: anexo 5000 · CITUC (Centro de Información Toxicológica UC): 2 2635 3800</w:t>
      </w:r>
    </w:p>
    <w:p>
      <w:r>
        <w:br w:type="page"/>
      </w:r>
    </w:p>
    <w:tbl>
      <w:tblPr>
        <w:tblStyle w:val="Tablaconcuadrcula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  <w:shd w:val="clear" w:color="auto" w:fill="C00000"/>
          </w:tcPr>
          <w:p>
            <w:pPr>
              <w:spacing w:after="20" w:before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METANOL (ALCOHOL METÍLICO)</w:t>
            </w:r>
          </w:p>
        </w:tc>
      </w:tr>
    </w:tbl>
    <w:tbl>
      <w:tblPr>
        <w:tblStyle w:val="Tablaconcuadrcula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3005"/>
        <w:gridCol w:w="1984"/>
        <w:gridCol w:w="2835"/>
      </w:tblGrid>
      <w:tr>
        <w:tc>
          <w:tcPr>
            <w:tcW w:type="dxa" w:w="1814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Fórmula</w:t>
            </w:r>
          </w:p>
        </w:tc>
        <w:tc>
          <w:tcPr>
            <w:tcW w:type="dxa" w:w="3005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CH₃OH</w:t>
            </w:r>
          </w:p>
        </w:tc>
        <w:tc>
          <w:tcPr>
            <w:tcW w:type="dxa" w:w="1984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N° CAS</w:t>
            </w:r>
          </w:p>
        </w:tc>
        <w:tc>
          <w:tcPr>
            <w:tcW w:type="dxa" w:w="2835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67-56-1</w:t>
            </w:r>
          </w:p>
        </w:tc>
      </w:tr>
      <w:tr>
        <w:tc>
          <w:tcPr>
            <w:tcW w:type="dxa" w:w="1814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N° UN / clase</w:t>
            </w:r>
          </w:p>
        </w:tc>
        <w:tc>
          <w:tcPr>
            <w:tcW w:type="dxa" w:w="3005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1230 · Clase 3 · GE II</w:t>
            </w:r>
          </w:p>
        </w:tc>
        <w:tc>
          <w:tcPr>
            <w:tcW w:type="dxa" w:w="1984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Cantidad en inventario</w:t>
            </w:r>
          </w:p>
        </w:tc>
        <w:tc>
          <w:tcPr>
            <w:tcW w:type="dxa" w:w="2835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1 L</w:t>
            </w:r>
          </w:p>
        </w:tc>
      </w:tr>
      <w:tr>
        <w:tc>
          <w:tcPr>
            <w:tcW w:type="dxa" w:w="1814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Proveedor FDS</w:t>
            </w:r>
          </w:p>
        </w:tc>
        <w:tc>
          <w:tcPr>
            <w:tcW w:type="dxa" w:w="3005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Bioquimica.cl (FDS NCh 2245)</w:t>
            </w:r>
          </w:p>
        </w:tc>
        <w:tc>
          <w:tcPr>
            <w:tcW w:type="dxa" w:w="1984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Palabra de advertencia</w:t>
            </w:r>
          </w:p>
        </w:tc>
        <w:tc>
          <w:tcPr>
            <w:tcW w:type="dxa" w:w="2835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PELIGRO</w:t>
            </w:r>
          </w:p>
        </w:tc>
      </w:tr>
    </w:tbl>
    <w:tbl>
      <w:tblPr>
        <w:tblStyle w:val="Tablaconcuadrcula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257"/>
      </w:tblGrid>
      <w:tr>
        <w:tc>
          <w:tcPr>
            <w:tcW w:type="dxa" w:w="2381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Pictogramas GHS</w:t>
            </w:r>
          </w:p>
        </w:tc>
        <w:tc>
          <w:tcPr>
            <w:tcW w:type="dxa" w:w="7257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color w:val="C00000"/>
                <w:sz w:val="20"/>
              </w:rPr>
              <w:t>GHS02 Inflamable · GHS06 Tóxico · GHS08 Peligro para la salud</w:t>
            </w:r>
          </w:p>
        </w:tc>
      </w:tr>
      <w:tr>
        <w:tc>
          <w:tcPr>
            <w:tcW w:type="dxa" w:w="2381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Indicaciones de peligro</w:t>
            </w:r>
          </w:p>
        </w:tc>
        <w:tc>
          <w:tcPr>
            <w:tcW w:type="dxa" w:w="7257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H225 Líquido y vapores muy inflamables.</w:t>
            </w:r>
          </w:p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H301+H311+H331 Tóxico en caso de ingestión, contacto con la piel o inhalación.</w:t>
            </w:r>
          </w:p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H370 Provoca daños en los órganos (ojos / nervio óptico).</w:t>
            </w:r>
          </w:p>
        </w:tc>
      </w:tr>
      <w:tr>
        <w:tc>
          <w:tcPr>
            <w:tcW w:type="dxa" w:w="2381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NFPA (FDS proveedor)</w:t>
            </w:r>
          </w:p>
        </w:tc>
        <w:tc>
          <w:tcPr>
            <w:tcW w:type="dxa" w:w="7257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2381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EPP y control de exposición</w:t>
            </w:r>
          </w:p>
        </w:tc>
        <w:tc>
          <w:tcPr>
            <w:tcW w:type="dxa" w:w="7257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Bata (idealmente antiestática), gafas, guantes de butilo o Viton (nitrilo solo salpicaduras), trabajo obligatorio bajo campana; filtro AX si no hay campana. LPP ponderado 175 ppm (229 mg/m³); temporal 250 ppm. Absorción por la piel.</w:t>
            </w:r>
          </w:p>
        </w:tc>
      </w:tr>
      <w:tr>
        <w:tc>
          <w:tcPr>
            <w:tcW w:type="dxa" w:w="2381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Manipulación y almacenamiento</w:t>
            </w:r>
          </w:p>
        </w:tc>
        <w:tc>
          <w:tcPr>
            <w:tcW w:type="dxa" w:w="7257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Trabajar bajo campana; no inhalar. Lejos de fuentes de ignición; prevenir descargas electrostáticas. Envase cerrado en lugar ventilado, acceso restringido.</w:t>
            </w:r>
          </w:p>
        </w:tc>
      </w:tr>
      <w:tr>
        <w:tc>
          <w:tcPr>
            <w:tcW w:type="dxa" w:w="2381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Incompatibilidades</w:t>
            </w:r>
          </w:p>
        </w:tc>
        <w:tc>
          <w:tcPr>
            <w:tcW w:type="dxa" w:w="7257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Oxidantes, ácido nítrico, ácido sulfúrico, ácido perclórico, peróxidos, halógenos, metales alcalinos, magnesio en polvo, hipoclorito de sodio.</w:t>
            </w:r>
          </w:p>
        </w:tc>
      </w:tr>
      <w:tr>
        <w:tc>
          <w:tcPr>
            <w:tcW w:type="dxa" w:w="2381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Primeros auxilios</w:t>
            </w:r>
          </w:p>
        </w:tc>
        <w:tc>
          <w:tcPr>
            <w:tcW w:type="dxa" w:w="7257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Inhalación: aire fresco, llamar al médico de inmediato. Piel: retirar ropa, ducha. Ojos: lavar con abundante agua, oftalmólogo. Ingestión: atención médica inmediata; llamar al CITUC. Los síntomas pueden retrasarse.</w:t>
            </w:r>
          </w:p>
        </w:tc>
      </w:tr>
      <w:tr>
        <w:tc>
          <w:tcPr>
            <w:tcW w:type="dxa" w:w="2381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Derrame</w:t>
            </w:r>
          </w:p>
        </w:tc>
        <w:tc>
          <w:tcPr>
            <w:tcW w:type="dxa" w:w="7257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Eliminar fuentes de ignición, ventilar, cubrir desagües; absorber con material inerte y recoger en envase cerrado.</w:t>
            </w:r>
          </w:p>
        </w:tc>
      </w:tr>
      <w:tr>
        <w:tc>
          <w:tcPr>
            <w:tcW w:type="dxa" w:w="2381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Eliminación</w:t>
            </w:r>
          </w:p>
        </w:tc>
        <w:tc>
          <w:tcPr>
            <w:tcW w:type="dxa" w:w="7257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Bidón «Residuos de solventes orgánicos no halogenados». No al desagüe.</w:t>
            </w:r>
          </w:p>
        </w:tc>
      </w:tr>
      <w:tr>
        <w:tc>
          <w:tcPr>
            <w:tcW w:type="dxa" w:w="2381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Uso en procedimientos</w:t>
            </w:r>
          </w:p>
        </w:tc>
        <w:tc>
          <w:tcPr>
            <w:tcW w:type="dxa" w:w="7257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PTS-01.</w:t>
            </w:r>
          </w:p>
        </w:tc>
      </w:tr>
    </w:tbl>
    <w:p>
      <w:pPr>
        <w:spacing w:before="120" w:after="0"/>
        <w:jc w:val="center"/>
      </w:pPr>
      <w:r>
        <w:rPr>
          <w:rFonts w:ascii="Calibri" w:hAnsi="Calibri"/>
          <w:b/>
          <w:i w:val="0"/>
          <w:sz w:val="18"/>
        </w:rPr>
        <w:t>Emergencias UC: anexo 5000 · CITUC (Centro de Información Toxicológica UC): 2 2635 3800</w:t>
      </w:r>
    </w:p>
    <w:p>
      <w:r>
        <w:br w:type="page"/>
      </w:r>
    </w:p>
    <w:tbl>
      <w:tblPr>
        <w:tblStyle w:val="Tablaconcuadrcula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  <w:shd w:val="clear" w:color="auto" w:fill="C00000"/>
          </w:tcPr>
          <w:p>
            <w:pPr>
              <w:spacing w:after="20" w:before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ALCOHOL ISOPROPÍLICO (IPA)</w:t>
            </w:r>
          </w:p>
        </w:tc>
      </w:tr>
    </w:tbl>
    <w:tbl>
      <w:tblPr>
        <w:tblStyle w:val="Tablaconcuadrcula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3005"/>
        <w:gridCol w:w="1984"/>
        <w:gridCol w:w="2835"/>
      </w:tblGrid>
      <w:tr>
        <w:tc>
          <w:tcPr>
            <w:tcW w:type="dxa" w:w="1814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Fórmula</w:t>
            </w:r>
          </w:p>
        </w:tc>
        <w:tc>
          <w:tcPr>
            <w:tcW w:type="dxa" w:w="3005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(CH₃)₂CHOH</w:t>
            </w:r>
          </w:p>
        </w:tc>
        <w:tc>
          <w:tcPr>
            <w:tcW w:type="dxa" w:w="1984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N° CAS</w:t>
            </w:r>
          </w:p>
        </w:tc>
        <w:tc>
          <w:tcPr>
            <w:tcW w:type="dxa" w:w="2835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67-63-0</w:t>
            </w:r>
          </w:p>
        </w:tc>
      </w:tr>
      <w:tr>
        <w:tc>
          <w:tcPr>
            <w:tcW w:type="dxa" w:w="1814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N° UN / clase</w:t>
            </w:r>
          </w:p>
        </w:tc>
        <w:tc>
          <w:tcPr>
            <w:tcW w:type="dxa" w:w="3005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1219 · Clase 3 · GE II</w:t>
            </w:r>
          </w:p>
        </w:tc>
        <w:tc>
          <w:tcPr>
            <w:tcW w:type="dxa" w:w="1984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Cantidad en inventario</w:t>
            </w:r>
          </w:p>
        </w:tc>
        <w:tc>
          <w:tcPr>
            <w:tcW w:type="dxa" w:w="2835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1 L</w:t>
            </w:r>
          </w:p>
        </w:tc>
      </w:tr>
      <w:tr>
        <w:tc>
          <w:tcPr>
            <w:tcW w:type="dxa" w:w="1814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Proveedor FDS</w:t>
            </w:r>
          </w:p>
        </w:tc>
        <w:tc>
          <w:tcPr>
            <w:tcW w:type="dxa" w:w="3005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Científica (FDS NCh 2245)</w:t>
            </w:r>
          </w:p>
        </w:tc>
        <w:tc>
          <w:tcPr>
            <w:tcW w:type="dxa" w:w="1984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Palabra de advertencia</w:t>
            </w:r>
          </w:p>
        </w:tc>
        <w:tc>
          <w:tcPr>
            <w:tcW w:type="dxa" w:w="2835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PELIGRO</w:t>
            </w:r>
          </w:p>
        </w:tc>
      </w:tr>
    </w:tbl>
    <w:tbl>
      <w:tblPr>
        <w:tblStyle w:val="Tablaconcuadrcula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257"/>
      </w:tblGrid>
      <w:tr>
        <w:tc>
          <w:tcPr>
            <w:tcW w:type="dxa" w:w="2381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Pictogramas GHS</w:t>
            </w:r>
          </w:p>
        </w:tc>
        <w:tc>
          <w:tcPr>
            <w:tcW w:type="dxa" w:w="7257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color w:val="C00000"/>
                <w:sz w:val="20"/>
              </w:rPr>
              <w:t>GHS02 Inflamable · GHS07 Irritante</w:t>
            </w:r>
          </w:p>
        </w:tc>
      </w:tr>
      <w:tr>
        <w:tc>
          <w:tcPr>
            <w:tcW w:type="dxa" w:w="2381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Indicaciones de peligro</w:t>
            </w:r>
          </w:p>
        </w:tc>
        <w:tc>
          <w:tcPr>
            <w:tcW w:type="dxa" w:w="7257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H225 Líquido y vapores muy inflamables.</w:t>
            </w:r>
          </w:p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H319 Provoca irritación ocular grave.</w:t>
            </w:r>
          </w:p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H336 Puede provocar somnolencia o vértigo.</w:t>
            </w:r>
          </w:p>
        </w:tc>
      </w:tr>
      <w:tr>
        <w:tc>
          <w:tcPr>
            <w:tcW w:type="dxa" w:w="2381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NFPA (FDS proveedor)</w:t>
            </w:r>
          </w:p>
        </w:tc>
        <w:tc>
          <w:tcPr>
            <w:tcW w:type="dxa" w:w="7257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Salud 1 · Inflamabilidad 3 · Reactividad 0</w:t>
            </w:r>
          </w:p>
        </w:tc>
      </w:tr>
      <w:tr>
        <w:tc>
          <w:tcPr>
            <w:tcW w:type="dxa" w:w="2381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EPP y control de exposición</w:t>
            </w:r>
          </w:p>
        </w:tc>
        <w:tc>
          <w:tcPr>
            <w:tcW w:type="dxa" w:w="7257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Bata, gafas contra salpicaduras, guantes de nitrilo/butilo/neopreno; ventilación o campana; filtro vapores orgánicos si se superan los límites. LPP 500 ppm.</w:t>
            </w:r>
          </w:p>
        </w:tc>
      </w:tr>
      <w:tr>
        <w:tc>
          <w:tcPr>
            <w:tcW w:type="dxa" w:w="2381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Manipulación y almacenamiento</w:t>
            </w:r>
          </w:p>
        </w:tc>
        <w:tc>
          <w:tcPr>
            <w:tcW w:type="dxa" w:w="7257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Buena ventilación, lejos de calor y llamas. Envase de vidrio o plástico apropiado con cierre hermético, en armario de inflamables.</w:t>
            </w:r>
          </w:p>
        </w:tc>
      </w:tr>
      <w:tr>
        <w:tc>
          <w:tcPr>
            <w:tcW w:type="dxa" w:w="2381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Incompatibilidades</w:t>
            </w:r>
          </w:p>
        </w:tc>
        <w:tc>
          <w:tcPr>
            <w:tcW w:type="dxa" w:w="7257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Oxidantes, ácido nítrico, ácido sulfúrico/óleum, metales alcalinos y alcalinotérreos, aluminio, aldehídos, aminas, cloro.</w:t>
            </w:r>
          </w:p>
        </w:tc>
      </w:tr>
      <w:tr>
        <w:tc>
          <w:tcPr>
            <w:tcW w:type="dxa" w:w="2381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Primeros auxilios</w:t>
            </w:r>
          </w:p>
        </w:tc>
        <w:tc>
          <w:tcPr>
            <w:tcW w:type="dxa" w:w="7257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Inhalación: aire fresco, RCP si es necesario. Piel: lavar 10–15 min. Ojos: lavaojos 10–15 min separando párpados. Ingestión: enjuagar boca, dar agua y acudir a servicio médico.</w:t>
            </w:r>
          </w:p>
        </w:tc>
      </w:tr>
      <w:tr>
        <w:tc>
          <w:tcPr>
            <w:tcW w:type="dxa" w:w="2381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Derrame</w:t>
            </w:r>
          </w:p>
        </w:tc>
        <w:tc>
          <w:tcPr>
            <w:tcW w:type="dxa" w:w="7257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Eliminar fuentes de ignición, ventilar, absorber con material inerte; no tirar al desagüe.</w:t>
            </w:r>
          </w:p>
        </w:tc>
      </w:tr>
      <w:tr>
        <w:tc>
          <w:tcPr>
            <w:tcW w:type="dxa" w:w="2381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Eliminación</w:t>
            </w:r>
          </w:p>
        </w:tc>
        <w:tc>
          <w:tcPr>
            <w:tcW w:type="dxa" w:w="7257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Bidón «Residuos de solventes orgánicos no halogenados».</w:t>
            </w:r>
          </w:p>
        </w:tc>
      </w:tr>
      <w:tr>
        <w:tc>
          <w:tcPr>
            <w:tcW w:type="dxa" w:w="2381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Uso en procedimientos</w:t>
            </w:r>
          </w:p>
        </w:tc>
        <w:tc>
          <w:tcPr>
            <w:tcW w:type="dxa" w:w="7257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PTS-01, PTS-02 (dilución de pintura y limpieza de aerógrafo).</w:t>
            </w:r>
          </w:p>
        </w:tc>
      </w:tr>
      <w:tr>
        <w:tc>
          <w:tcPr>
            <w:tcW w:type="dxa" w:w="2381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Observaciones</w:t>
            </w:r>
          </w:p>
        </w:tc>
        <w:tc>
          <w:tcPr>
            <w:tcW w:type="dxa" w:w="7257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La FDS del proveedor indica H226/H312/H332; con punto de inflamación 12 °C corresponde H225. Se usa la clasificación GHS armonizada.</w:t>
            </w:r>
          </w:p>
        </w:tc>
      </w:tr>
    </w:tbl>
    <w:p>
      <w:pPr>
        <w:spacing w:before="120" w:after="0"/>
        <w:jc w:val="center"/>
      </w:pPr>
      <w:r>
        <w:rPr>
          <w:rFonts w:ascii="Calibri" w:hAnsi="Calibri"/>
          <w:b/>
          <w:i w:val="0"/>
          <w:sz w:val="18"/>
        </w:rPr>
        <w:t>Emergencias UC: anexo 5000 · CITUC (Centro de Información Toxicológica UC): 2 2635 3800</w:t>
      </w:r>
    </w:p>
    <w:p>
      <w:r>
        <w:br w:type="page"/>
      </w:r>
    </w:p>
    <w:tbl>
      <w:tblPr>
        <w:tblStyle w:val="Tablaconcuadrcula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  <w:shd w:val="clear" w:color="auto" w:fill="C00000"/>
          </w:tcPr>
          <w:p>
            <w:pPr>
              <w:spacing w:after="20" w:before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NITRATO DE PLATA</w:t>
            </w:r>
          </w:p>
        </w:tc>
      </w:tr>
    </w:tbl>
    <w:tbl>
      <w:tblPr>
        <w:tblStyle w:val="Tablaconcuadrcula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3005"/>
        <w:gridCol w:w="1984"/>
        <w:gridCol w:w="2835"/>
      </w:tblGrid>
      <w:tr>
        <w:tc>
          <w:tcPr>
            <w:tcW w:type="dxa" w:w="1814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Fórmula</w:t>
            </w:r>
          </w:p>
        </w:tc>
        <w:tc>
          <w:tcPr>
            <w:tcW w:type="dxa" w:w="3005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AgNO₃</w:t>
            </w:r>
          </w:p>
        </w:tc>
        <w:tc>
          <w:tcPr>
            <w:tcW w:type="dxa" w:w="1984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N° CAS</w:t>
            </w:r>
          </w:p>
        </w:tc>
        <w:tc>
          <w:tcPr>
            <w:tcW w:type="dxa" w:w="2835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7761-88-8</w:t>
            </w:r>
          </w:p>
        </w:tc>
      </w:tr>
      <w:tr>
        <w:tc>
          <w:tcPr>
            <w:tcW w:type="dxa" w:w="1814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N° UN / clase</w:t>
            </w:r>
          </w:p>
        </w:tc>
        <w:tc>
          <w:tcPr>
            <w:tcW w:type="dxa" w:w="3005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1493 · Clase 5.1 · GE II</w:t>
            </w:r>
          </w:p>
        </w:tc>
        <w:tc>
          <w:tcPr>
            <w:tcW w:type="dxa" w:w="1984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Cantidad en inventario</w:t>
            </w:r>
          </w:p>
        </w:tc>
        <w:tc>
          <w:tcPr>
            <w:tcW w:type="dxa" w:w="2835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10 g</w:t>
            </w:r>
          </w:p>
        </w:tc>
      </w:tr>
      <w:tr>
        <w:tc>
          <w:tcPr>
            <w:tcW w:type="dxa" w:w="1814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Proveedor FDS</w:t>
            </w:r>
          </w:p>
        </w:tc>
        <w:tc>
          <w:tcPr>
            <w:tcW w:type="dxa" w:w="3005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Bioquimica.cl (FDS NCh 2245)</w:t>
            </w:r>
          </w:p>
        </w:tc>
        <w:tc>
          <w:tcPr>
            <w:tcW w:type="dxa" w:w="1984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Palabra de advertencia</w:t>
            </w:r>
          </w:p>
        </w:tc>
        <w:tc>
          <w:tcPr>
            <w:tcW w:type="dxa" w:w="2835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PELIGRO</w:t>
            </w:r>
          </w:p>
        </w:tc>
      </w:tr>
    </w:tbl>
    <w:tbl>
      <w:tblPr>
        <w:tblStyle w:val="Tablaconcuadrcula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257"/>
      </w:tblGrid>
      <w:tr>
        <w:tc>
          <w:tcPr>
            <w:tcW w:type="dxa" w:w="2381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Pictogramas GHS</w:t>
            </w:r>
          </w:p>
        </w:tc>
        <w:tc>
          <w:tcPr>
            <w:tcW w:type="dxa" w:w="7257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color w:val="C00000"/>
                <w:sz w:val="20"/>
              </w:rPr>
              <w:t>GHS03 Comburente · GHS05 Corrosivo · GHS09 Peligro ambiental</w:t>
            </w:r>
          </w:p>
        </w:tc>
      </w:tr>
      <w:tr>
        <w:tc>
          <w:tcPr>
            <w:tcW w:type="dxa" w:w="2381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Indicaciones de peligro</w:t>
            </w:r>
          </w:p>
        </w:tc>
        <w:tc>
          <w:tcPr>
            <w:tcW w:type="dxa" w:w="7257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H272 Puede agravar un incendio; comburente.</w:t>
            </w:r>
          </w:p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H290 Puede ser corrosivo para los metales.</w:t>
            </w:r>
          </w:p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H314 Provoca quemaduras graves en la piel y lesiones oculares graves.</w:t>
            </w:r>
          </w:p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H410 Muy tóxico para los organismos acuáticos, con efectos duraderos.</w:t>
            </w:r>
          </w:p>
        </w:tc>
      </w:tr>
      <w:tr>
        <w:tc>
          <w:tcPr>
            <w:tcW w:type="dxa" w:w="2381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NFPA (FDS proveedor)</w:t>
            </w:r>
          </w:p>
        </w:tc>
        <w:tc>
          <w:tcPr>
            <w:tcW w:type="dxa" w:w="7257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Salud 3 · Inflamabilidad 0 · Reactividad 2</w:t>
            </w:r>
          </w:p>
        </w:tc>
      </w:tr>
      <w:tr>
        <w:tc>
          <w:tcPr>
            <w:tcW w:type="dxa" w:w="2381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EPP y control de exposición</w:t>
            </w:r>
          </w:p>
        </w:tc>
        <w:tc>
          <w:tcPr>
            <w:tcW w:type="dxa" w:w="7257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Bata, guantes de nitrilo, gafas de seguridad; manipular bajo campana. Mancha la piel de negro.</w:t>
            </w:r>
          </w:p>
        </w:tc>
      </w:tr>
      <w:tr>
        <w:tc>
          <w:tcPr>
            <w:tcW w:type="dxa" w:w="2381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Manipulación y almacenamiento</w:t>
            </w:r>
          </w:p>
        </w:tc>
        <w:tc>
          <w:tcPr>
            <w:tcW w:type="dxa" w:w="7257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Frasco bien cerrado y protegido de la luz. Almacenar con oxidantes, lejos de inflamables, papel y materia orgánica.</w:t>
            </w:r>
          </w:p>
        </w:tc>
      </w:tr>
      <w:tr>
        <w:tc>
          <w:tcPr>
            <w:tcW w:type="dxa" w:w="2381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Incompatibilidades</w:t>
            </w:r>
          </w:p>
        </w:tc>
        <w:tc>
          <w:tcPr>
            <w:tcW w:type="dxa" w:w="7257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Materia orgánica y combustibles (dextrosa, solventes, papel), reductores, amoníaco, metales en polvo.</w:t>
            </w:r>
          </w:p>
        </w:tc>
      </w:tr>
      <w:tr>
        <w:tc>
          <w:tcPr>
            <w:tcW w:type="dxa" w:w="2381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Primeros auxilios</w:t>
            </w:r>
          </w:p>
        </w:tc>
        <w:tc>
          <w:tcPr>
            <w:tcW w:type="dxa" w:w="7257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Piel: lavar con abundante agua. Ojos: lavar ≥ 10–15 min con párpados abiertos, atención médica. Inhalación: aire fresco. Ingestión: beber agua, NO inducir vómito, centro de salud.</w:t>
            </w:r>
          </w:p>
        </w:tc>
      </w:tr>
      <w:tr>
        <w:tc>
          <w:tcPr>
            <w:tcW w:type="dxa" w:w="2381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Derrame</w:t>
            </w:r>
          </w:p>
        </w:tc>
        <w:tc>
          <w:tcPr>
            <w:tcW w:type="dxa" w:w="7257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Recoger sin levantar polvo, sin usar papel ni aserrín; contenedor rotulado. Evitar que llegue a desagües.</w:t>
            </w:r>
          </w:p>
        </w:tc>
      </w:tr>
      <w:tr>
        <w:tc>
          <w:tcPr>
            <w:tcW w:type="dxa" w:w="2381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Eliminación</w:t>
            </w:r>
          </w:p>
        </w:tc>
        <w:tc>
          <w:tcPr>
            <w:tcW w:type="dxa" w:w="7257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Recipiente separado «Residuos con plata – oxidante»; no mezclar con otros residuos.</w:t>
            </w:r>
          </w:p>
        </w:tc>
      </w:tr>
      <w:tr>
        <w:tc>
          <w:tcPr>
            <w:tcW w:type="dxa" w:w="2381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Uso en procedimientos</w:t>
            </w:r>
          </w:p>
        </w:tc>
        <w:tc>
          <w:tcPr>
            <w:tcW w:type="dxa" w:w="7257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Sin procedimiento asignado actualmente (disponible en inventario).</w:t>
            </w:r>
          </w:p>
        </w:tc>
      </w:tr>
      <w:tr>
        <w:tc>
          <w:tcPr>
            <w:tcW w:type="dxa" w:w="2381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Observaciones</w:t>
            </w:r>
          </w:p>
        </w:tc>
        <w:tc>
          <w:tcPr>
            <w:tcW w:type="dxa" w:w="7257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La FDS del proveedor asigna UN 1760 y frases H315/H319/H332/H400/H413. Para el sólido corresponde UN 1493 (clase 5.1) y la clasificación armonizada indicada arriba. Verificar con una FDS actualizada.</w:t>
            </w:r>
          </w:p>
        </w:tc>
      </w:tr>
    </w:tbl>
    <w:p>
      <w:pPr>
        <w:spacing w:before="120" w:after="0"/>
        <w:jc w:val="center"/>
      </w:pPr>
      <w:r>
        <w:rPr>
          <w:rFonts w:ascii="Calibri" w:hAnsi="Calibri"/>
          <w:b/>
          <w:i w:val="0"/>
          <w:sz w:val="18"/>
        </w:rPr>
        <w:t>Emergencias UC: anexo 5000 · CITUC (Centro de Información Toxicológica UC): 2 2635 3800</w:t>
      </w:r>
    </w:p>
    <w:p>
      <w:r>
        <w:br w:type="page"/>
      </w:r>
    </w:p>
    <w:tbl>
      <w:tblPr>
        <w:tblStyle w:val="Tablaconcuadrcula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  <w:shd w:val="clear" w:color="auto" w:fill="548235"/>
          </w:tcPr>
          <w:p>
            <w:pPr>
              <w:spacing w:after="20" w:before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DEXTROSA ANHIDRA</w:t>
            </w:r>
          </w:p>
        </w:tc>
      </w:tr>
    </w:tbl>
    <w:tbl>
      <w:tblPr>
        <w:tblStyle w:val="Tablaconcuadrcula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3005"/>
        <w:gridCol w:w="1984"/>
        <w:gridCol w:w="2835"/>
      </w:tblGrid>
      <w:tr>
        <w:tc>
          <w:tcPr>
            <w:tcW w:type="dxa" w:w="1814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Fórmula</w:t>
            </w:r>
          </w:p>
        </w:tc>
        <w:tc>
          <w:tcPr>
            <w:tcW w:type="dxa" w:w="3005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C₆H₁₂O₆</w:t>
            </w:r>
          </w:p>
        </w:tc>
        <w:tc>
          <w:tcPr>
            <w:tcW w:type="dxa" w:w="1984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N° CAS</w:t>
            </w:r>
          </w:p>
        </w:tc>
        <w:tc>
          <w:tcPr>
            <w:tcW w:type="dxa" w:w="2835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50-99-7</w:t>
            </w:r>
          </w:p>
        </w:tc>
      </w:tr>
      <w:tr>
        <w:tc>
          <w:tcPr>
            <w:tcW w:type="dxa" w:w="1814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N° UN / clase</w:t>
            </w:r>
          </w:p>
        </w:tc>
        <w:tc>
          <w:tcPr>
            <w:tcW w:type="dxa" w:w="3005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No regulado para transporte</w:t>
            </w:r>
          </w:p>
        </w:tc>
        <w:tc>
          <w:tcPr>
            <w:tcW w:type="dxa" w:w="1984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Cantidad en inventario</w:t>
            </w:r>
          </w:p>
        </w:tc>
        <w:tc>
          <w:tcPr>
            <w:tcW w:type="dxa" w:w="2835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500 g</w:t>
            </w:r>
          </w:p>
        </w:tc>
      </w:tr>
      <w:tr>
        <w:tc>
          <w:tcPr>
            <w:tcW w:type="dxa" w:w="1814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Proveedor FDS</w:t>
            </w:r>
          </w:p>
        </w:tc>
        <w:tc>
          <w:tcPr>
            <w:tcW w:type="dxa" w:w="3005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Thermo Fisher Scientific (Fisher Scientific)</w:t>
            </w:r>
          </w:p>
        </w:tc>
        <w:tc>
          <w:tcPr>
            <w:tcW w:type="dxa" w:w="1984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Palabra de advertencia</w:t>
            </w:r>
          </w:p>
        </w:tc>
        <w:tc>
          <w:tcPr>
            <w:tcW w:type="dxa" w:w="2835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—</w:t>
            </w:r>
          </w:p>
        </w:tc>
      </w:tr>
    </w:tbl>
    <w:tbl>
      <w:tblPr>
        <w:tblStyle w:val="Tablaconcuadrcula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257"/>
      </w:tblGrid>
      <w:tr>
        <w:tc>
          <w:tcPr>
            <w:tcW w:type="dxa" w:w="2381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Pictogramas GHS</w:t>
            </w:r>
          </w:p>
        </w:tc>
        <w:tc>
          <w:tcPr>
            <w:tcW w:type="dxa" w:w="7257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color w:val="385723"/>
                <w:sz w:val="20"/>
              </w:rPr>
              <w:t>Sin pictogramas (no clasificada)</w:t>
            </w:r>
          </w:p>
        </w:tc>
      </w:tr>
      <w:tr>
        <w:tc>
          <w:tcPr>
            <w:tcW w:type="dxa" w:w="2381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Indicaciones de peligro</w:t>
            </w:r>
          </w:p>
        </w:tc>
        <w:tc>
          <w:tcPr>
            <w:tcW w:type="dxa" w:w="7257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No cumple los criterios de clasificación como peligrosa.</w:t>
            </w:r>
          </w:p>
        </w:tc>
      </w:tr>
      <w:tr>
        <w:tc>
          <w:tcPr>
            <w:tcW w:type="dxa" w:w="2381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NFPA (FDS proveedor)</w:t>
            </w:r>
          </w:p>
        </w:tc>
        <w:tc>
          <w:tcPr>
            <w:tcW w:type="dxa" w:w="7257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2381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EPP y control de exposición</w:t>
            </w:r>
          </w:p>
        </w:tc>
        <w:tc>
          <w:tcPr>
            <w:tcW w:type="dxa" w:w="7257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Bata, guantes y gafas de seguridad (buenas prácticas). Evitar formación de polvo.</w:t>
            </w:r>
          </w:p>
        </w:tc>
      </w:tr>
      <w:tr>
        <w:tc>
          <w:tcPr>
            <w:tcW w:type="dxa" w:w="2381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Manipulación y almacenamiento</w:t>
            </w:r>
          </w:p>
        </w:tc>
        <w:tc>
          <w:tcPr>
            <w:tcW w:type="dxa" w:w="7257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Envase cerrado en lugar fresco, seco y ventilado. Evitar calor excesivo.</w:t>
            </w:r>
          </w:p>
        </w:tc>
      </w:tr>
      <w:tr>
        <w:tc>
          <w:tcPr>
            <w:tcW w:type="dxa" w:w="2381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Incompatibilidades</w:t>
            </w:r>
          </w:p>
        </w:tc>
        <w:tc>
          <w:tcPr>
            <w:tcW w:type="dxa" w:w="7257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Agentes oxidantes fuertes (mantener separada del nitrato de plata).</w:t>
            </w:r>
          </w:p>
        </w:tc>
      </w:tr>
      <w:tr>
        <w:tc>
          <w:tcPr>
            <w:tcW w:type="dxa" w:w="2381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Primeros auxilios</w:t>
            </w:r>
          </w:p>
        </w:tc>
        <w:tc>
          <w:tcPr>
            <w:tcW w:type="dxa" w:w="7257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Ojos y piel: lavar con abundante agua 15 min. Inhalación: aire fresco. Ingestión: no provocar vómito, consultar médico si hay síntomas.</w:t>
            </w:r>
          </w:p>
        </w:tc>
      </w:tr>
      <w:tr>
        <w:tc>
          <w:tcPr>
            <w:tcW w:type="dxa" w:w="2381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Derrame</w:t>
            </w:r>
          </w:p>
        </w:tc>
        <w:tc>
          <w:tcPr>
            <w:tcW w:type="dxa" w:w="7257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Barrer y recoger en contenedor, evitando levantar polvo.</w:t>
            </w:r>
          </w:p>
        </w:tc>
      </w:tr>
      <w:tr>
        <w:tc>
          <w:tcPr>
            <w:tcW w:type="dxa" w:w="2381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Eliminación</w:t>
            </w:r>
          </w:p>
        </w:tc>
        <w:tc>
          <w:tcPr>
            <w:tcW w:type="dxa" w:w="7257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Residuo no peligroso; consultar a Laboratorio Seguro antes de eliminar.</w:t>
            </w:r>
          </w:p>
        </w:tc>
      </w:tr>
      <w:tr>
        <w:tc>
          <w:tcPr>
            <w:tcW w:type="dxa" w:w="2381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Uso en procedimientos</w:t>
            </w:r>
          </w:p>
        </w:tc>
        <w:tc>
          <w:tcPr>
            <w:tcW w:type="dxa" w:w="7257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Sin procedimiento asignado actualmente (disponible en inventario).</w:t>
            </w:r>
          </w:p>
        </w:tc>
      </w:tr>
    </w:tbl>
    <w:p>
      <w:pPr>
        <w:spacing w:before="120" w:after="0"/>
        <w:jc w:val="center"/>
      </w:pPr>
      <w:r>
        <w:rPr>
          <w:rFonts w:ascii="Calibri" w:hAnsi="Calibri"/>
          <w:b/>
          <w:i w:val="0"/>
          <w:sz w:val="18"/>
        </w:rPr>
        <w:t>Emergencias UC: anexo 5000 · CITUC (Centro de Información Toxicológica UC): 2 2635 3800</w:t>
      </w:r>
    </w:p>
    <w:p>
      <w:r>
        <w:br w:type="page"/>
      </w:r>
    </w:p>
    <w:tbl>
      <w:tblPr>
        <w:tblStyle w:val="Tablaconcuadrcula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  <w:shd w:val="clear" w:color="auto" w:fill="7F7F7F"/>
          </w:tcPr>
          <w:p>
            <w:pPr>
              <w:spacing w:after="20" w:before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PINTURA DE GRAFITO CONDUCTIVA</w:t>
            </w:r>
          </w:p>
        </w:tc>
      </w:tr>
    </w:tbl>
    <w:tbl>
      <w:tblPr>
        <w:tblStyle w:val="Tablaconcuadrcula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3005"/>
        <w:gridCol w:w="1984"/>
        <w:gridCol w:w="2835"/>
      </w:tblGrid>
      <w:tr>
        <w:tc>
          <w:tcPr>
            <w:tcW w:type="dxa" w:w="1814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Fórmula</w:t>
            </w:r>
          </w:p>
        </w:tc>
        <w:tc>
          <w:tcPr>
            <w:tcW w:type="dxa" w:w="3005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Grafito coloidal en vehículo/solvente</w:t>
            </w:r>
          </w:p>
        </w:tc>
        <w:tc>
          <w:tcPr>
            <w:tcW w:type="dxa" w:w="1984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N° CAS</w:t>
            </w:r>
          </w:p>
        </w:tc>
        <w:tc>
          <w:tcPr>
            <w:tcW w:type="dxa" w:w="2835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Mezcla</w:t>
            </w:r>
          </w:p>
        </w:tc>
      </w:tr>
      <w:tr>
        <w:tc>
          <w:tcPr>
            <w:tcW w:type="dxa" w:w="1814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N° UN / clase</w:t>
            </w:r>
          </w:p>
        </w:tc>
        <w:tc>
          <w:tcPr>
            <w:tcW w:type="dxa" w:w="3005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Por confirmar</w:t>
            </w:r>
          </w:p>
        </w:tc>
        <w:tc>
          <w:tcPr>
            <w:tcW w:type="dxa" w:w="1984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Cantidad en inventario</w:t>
            </w:r>
          </w:p>
        </w:tc>
        <w:tc>
          <w:tcPr>
            <w:tcW w:type="dxa" w:w="2835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500 mL</w:t>
            </w:r>
          </w:p>
        </w:tc>
      </w:tr>
      <w:tr>
        <w:tc>
          <w:tcPr>
            <w:tcW w:type="dxa" w:w="1814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Proveedor FDS</w:t>
            </w:r>
          </w:p>
        </w:tc>
        <w:tc>
          <w:tcPr>
            <w:tcW w:type="dxa" w:w="3005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FDS no disponible en el inventario</w:t>
            </w:r>
          </w:p>
        </w:tc>
        <w:tc>
          <w:tcPr>
            <w:tcW w:type="dxa" w:w="1984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Palabra de advertencia</w:t>
            </w:r>
          </w:p>
        </w:tc>
        <w:tc>
          <w:tcPr>
            <w:tcW w:type="dxa" w:w="2835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POR CONFIRMAR</w:t>
            </w:r>
          </w:p>
        </w:tc>
      </w:tr>
    </w:tbl>
    <w:tbl>
      <w:tblPr>
        <w:tblStyle w:val="Tablaconcuadrcula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257"/>
      </w:tblGrid>
      <w:tr>
        <w:tc>
          <w:tcPr>
            <w:tcW w:type="dxa" w:w="2381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Pictogramas GHS</w:t>
            </w:r>
          </w:p>
        </w:tc>
        <w:tc>
          <w:tcPr>
            <w:tcW w:type="dxa" w:w="7257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color w:val="7F7F7F"/>
                <w:sz w:val="20"/>
              </w:rPr>
              <w:t>Por confirmar con FDS</w:t>
            </w:r>
          </w:p>
        </w:tc>
      </w:tr>
      <w:tr>
        <w:tc>
          <w:tcPr>
            <w:tcW w:type="dxa" w:w="2381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Indicaciones de peligro</w:t>
            </w:r>
          </w:p>
        </w:tc>
        <w:tc>
          <w:tcPr>
            <w:tcW w:type="dxa" w:w="7257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Pendiente. Mientras no se disponga de la FDS: tratar como mezcla inflamable con partículas respirables.</w:t>
            </w:r>
          </w:p>
        </w:tc>
      </w:tr>
      <w:tr>
        <w:tc>
          <w:tcPr>
            <w:tcW w:type="dxa" w:w="2381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NFPA (FDS proveedor)</w:t>
            </w:r>
          </w:p>
        </w:tc>
        <w:tc>
          <w:tcPr>
            <w:tcW w:type="dxa" w:w="7257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2381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EPP y control de exposición</w:t>
            </w:r>
          </w:p>
        </w:tc>
        <w:tc>
          <w:tcPr>
            <w:tcW w:type="dxa" w:w="7257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Bata, guantes de nitrilo, gafas y respirador con filtros A1P2 durante la aerografía y el pulido.</w:t>
            </w:r>
          </w:p>
        </w:tc>
      </w:tr>
      <w:tr>
        <w:tc>
          <w:tcPr>
            <w:tcW w:type="dxa" w:w="2381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Manipulación y almacenamiento</w:t>
            </w:r>
          </w:p>
        </w:tc>
        <w:tc>
          <w:tcPr>
            <w:tcW w:type="dxa" w:w="7257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Aplicar bajo extracción, lejos de fuentes de ignición. Envase cerrado en armario de inflamables hasta confirmar su clasificación.</w:t>
            </w:r>
          </w:p>
        </w:tc>
      </w:tr>
      <w:tr>
        <w:tc>
          <w:tcPr>
            <w:tcW w:type="dxa" w:w="2381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Incompatibilidades</w:t>
            </w:r>
          </w:p>
        </w:tc>
        <w:tc>
          <w:tcPr>
            <w:tcW w:type="dxa" w:w="7257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Por confirmar (probablemente oxidantes fuertes).</w:t>
            </w:r>
          </w:p>
        </w:tc>
      </w:tr>
      <w:tr>
        <w:tc>
          <w:tcPr>
            <w:tcW w:type="dxa" w:w="2381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Primeros auxilios</w:t>
            </w:r>
          </w:p>
        </w:tc>
        <w:tc>
          <w:tcPr>
            <w:tcW w:type="dxa" w:w="7257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Seguir la etiqueta del envase. Ojos: lavar con agua 15 min. Inhalación: aire fresco.</w:t>
            </w:r>
          </w:p>
        </w:tc>
      </w:tr>
      <w:tr>
        <w:tc>
          <w:tcPr>
            <w:tcW w:type="dxa" w:w="2381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Derrame</w:t>
            </w:r>
          </w:p>
        </w:tc>
        <w:tc>
          <w:tcPr>
            <w:tcW w:type="dxa" w:w="7257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Absorber con material inerte, sin fuentes de ignición; contenedor cerrado.</w:t>
            </w:r>
          </w:p>
        </w:tc>
      </w:tr>
      <w:tr>
        <w:tc>
          <w:tcPr>
            <w:tcW w:type="dxa" w:w="2381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Eliminación</w:t>
            </w:r>
          </w:p>
        </w:tc>
        <w:tc>
          <w:tcPr>
            <w:tcW w:type="dxa" w:w="7257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Residuos sólidos contaminados / solventes no halogenados.</w:t>
            </w:r>
          </w:p>
        </w:tc>
      </w:tr>
      <w:tr>
        <w:tc>
          <w:tcPr>
            <w:tcW w:type="dxa" w:w="2381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Uso en procedimientos</w:t>
            </w:r>
          </w:p>
        </w:tc>
        <w:tc>
          <w:tcPr>
            <w:tcW w:type="dxa" w:w="7257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PTS-02.</w:t>
            </w:r>
          </w:p>
        </w:tc>
      </w:tr>
      <w:tr>
        <w:tc>
          <w:tcPr>
            <w:tcW w:type="dxa" w:w="2381"/>
            <w:shd w:val="clear" w:color="auto" w:fill="E7E6E6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Observaciones</w:t>
            </w:r>
          </w:p>
        </w:tc>
        <w:tc>
          <w:tcPr>
            <w:tcW w:type="dxa" w:w="7257"/>
          </w:tcPr>
          <w:p>
            <w:pPr>
              <w:spacing w:after="20" w:before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Acción requerida: solicitar la FDS al fabricante/proveedor, agregar el enlace al inventario y actualizar esta ficha.</w:t>
            </w:r>
          </w:p>
        </w:tc>
      </w:tr>
    </w:tbl>
    <w:p>
      <w:pPr>
        <w:spacing w:before="120" w:after="0"/>
        <w:jc w:val="center"/>
      </w:pPr>
      <w:r>
        <w:rPr>
          <w:rFonts w:ascii="Calibri" w:hAnsi="Calibri"/>
          <w:b/>
          <w:i w:val="0"/>
          <w:sz w:val="18"/>
        </w:rPr>
        <w:t>Emergencias UC: anexo 5000 · CITUC (Centro de Información Toxicológica UC): 2 2635 3800</w:t>
      </w:r>
    </w:p>
    <w:sectPr w:rsidR="00172A0F" w:rsidRPr="00E00575" w:rsidSect="003A17A4">
      <w:headerReference w:type="default" r:id="rId8"/>
      <w:pgSz w:w="12240" w:h="15840"/>
      <w:pgMar w:top="1548" w:right="720" w:bottom="720" w:left="720" w:header="42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9F0665" w14:textId="77777777" w:rsidR="009E7288" w:rsidRDefault="009E7288">
      <w:r>
        <w:separator/>
      </w:r>
    </w:p>
  </w:endnote>
  <w:endnote w:type="continuationSeparator" w:id="0">
    <w:p w14:paraId="6D6764C3" w14:textId="77777777" w:rsidR="009E7288" w:rsidRDefault="009E72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FA261E" w14:textId="77777777" w:rsidR="009E7288" w:rsidRDefault="009E7288">
      <w:r>
        <w:separator/>
      </w:r>
    </w:p>
  </w:footnote>
  <w:footnote w:type="continuationSeparator" w:id="0">
    <w:p w14:paraId="46BAAEDB" w14:textId="77777777" w:rsidR="009E7288" w:rsidRDefault="009E72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86658E" w14:textId="1476B338" w:rsidR="00CD0188" w:rsidRDefault="00CD0188" w:rsidP="00CD0188"/>
  <w:p w14:paraId="73742571" w14:textId="408B5ECF" w:rsidR="00CD0188" w:rsidRPr="00CD0188" w:rsidRDefault="00CD0188" w:rsidP="00CD0188"/>
  <w:tbl>
    <w:tblPr>
      <w:tblStyle w:val="Tablaconcuadrcula"/>
      <w:tblpPr w:leftFromText="141" w:rightFromText="141" w:horzAnchor="margin" w:tblpXSpec="center" w:tblpY="-600"/>
      <w:tblW w:w="10145" w:type="dxa"/>
      <w:tblBorders>
        <w:top w:val="double" w:sz="4" w:space="0" w:color="808080" w:themeColor="background1" w:themeShade="80"/>
        <w:left w:val="double" w:sz="4" w:space="0" w:color="808080" w:themeColor="background1" w:themeShade="80"/>
        <w:bottom w:val="double" w:sz="4" w:space="0" w:color="808080" w:themeColor="background1" w:themeShade="80"/>
        <w:right w:val="double" w:sz="4" w:space="0" w:color="808080" w:themeColor="background1" w:themeShade="80"/>
        <w:insideH w:val="double" w:sz="4" w:space="0" w:color="808080" w:themeColor="background1" w:themeShade="80"/>
        <w:insideV w:val="double" w:sz="4" w:space="0" w:color="808080" w:themeColor="background1" w:themeShade="80"/>
      </w:tblBorders>
      <w:tblLook w:val="04A0" w:firstRow="1" w:lastRow="0" w:firstColumn="1" w:lastColumn="0" w:noHBand="0" w:noVBand="1"/>
    </w:tblPr>
    <w:tblGrid>
      <w:gridCol w:w="3552"/>
      <w:gridCol w:w="4513"/>
      <w:gridCol w:w="2080"/>
    </w:tblGrid>
    <w:tr w:rsidR="003A17A4" w:rsidRPr="00693EC4" w14:paraId="675D7CA4" w14:textId="77777777" w:rsidTr="00BA2F26">
      <w:trPr>
        <w:trHeight w:val="762"/>
      </w:trPr>
      <w:tc>
        <w:tcPr>
          <w:tcW w:w="3552" w:type="dxa"/>
        </w:tcPr>
        <w:p w14:paraId="68AA2104" w14:textId="77777777" w:rsidR="003A17A4" w:rsidRPr="00693EC4" w:rsidRDefault="003A17A4" w:rsidP="003A17A4">
          <w:pPr>
            <w:spacing w:after="60" w:line="276" w:lineRule="auto"/>
            <w:ind w:right="418"/>
            <w:jc w:val="center"/>
            <w:rPr>
              <w:rFonts w:ascii="Calibri" w:eastAsia="Yu Gothic UI" w:hAnsi="Calibri" w:cs="Arial"/>
              <w:b/>
              <w:color w:val="2F5496" w:themeColor="accent1" w:themeShade="BF"/>
              <w:sz w:val="28"/>
            </w:rPr>
          </w:pPr>
          <w:r w:rsidRPr="00693EC4">
            <w:rPr>
              <w:noProof/>
              <w:lang w:val="es-ES_tradnl" w:eastAsia="es-ES_tradnl"/>
            </w:rPr>
            <w:drawing>
              <wp:anchor distT="0" distB="0" distL="114300" distR="114300" simplePos="0" relativeHeight="251660288" behindDoc="0" locked="0" layoutInCell="1" allowOverlap="1" wp14:anchorId="08839931" wp14:editId="3B9898B6">
                <wp:simplePos x="0" y="0"/>
                <wp:positionH relativeFrom="column">
                  <wp:posOffset>958215</wp:posOffset>
                </wp:positionH>
                <wp:positionV relativeFrom="page">
                  <wp:posOffset>128891</wp:posOffset>
                </wp:positionV>
                <wp:extent cx="1188720" cy="416560"/>
                <wp:effectExtent l="0" t="0" r="5080" b="2540"/>
                <wp:wrapSquare wrapText="bothSides"/>
                <wp:docPr id="3" name="Imagen 3" descr="Banner 800x20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Banner 800x200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314" r="1834"/>
                        <a:stretch/>
                      </pic:blipFill>
                      <pic:spPr bwMode="auto">
                        <a:xfrm>
                          <a:off x="0" y="0"/>
                          <a:ext cx="1188720" cy="416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693EC4">
            <w:rPr>
              <w:noProof/>
              <w:lang w:val="es-ES_tradnl" w:eastAsia="es-ES_tradnl"/>
            </w:rPr>
            <w:drawing>
              <wp:anchor distT="0" distB="0" distL="114300" distR="114300" simplePos="0" relativeHeight="251659264" behindDoc="1" locked="0" layoutInCell="1" allowOverlap="1" wp14:anchorId="68274286" wp14:editId="453008AA">
                <wp:simplePos x="0" y="0"/>
                <wp:positionH relativeFrom="column">
                  <wp:posOffset>-21591</wp:posOffset>
                </wp:positionH>
                <wp:positionV relativeFrom="page">
                  <wp:posOffset>32580</wp:posOffset>
                </wp:positionV>
                <wp:extent cx="981075" cy="553525"/>
                <wp:effectExtent l="0" t="0" r="0" b="0"/>
                <wp:wrapNone/>
                <wp:docPr id="4" name="Imagen 4" descr="UC lineal-02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6" descr="UC lineal-02.jpg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25" t="4688" b="6185"/>
                        <a:stretch/>
                      </pic:blipFill>
                      <pic:spPr bwMode="auto">
                        <a:xfrm>
                          <a:off x="0" y="0"/>
                          <a:ext cx="983418" cy="5548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13" w:type="dxa"/>
          <w:vAlign w:val="center"/>
        </w:tcPr>
        <w:p w14:paraId="61C195AE" w14:textId="65C89A81" w:rsidR="003A17A4" w:rsidRPr="00556385" w:rsidRDefault="003A17A4" w:rsidP="003A17A4">
          <w:pPr>
            <w:spacing w:after="60" w:line="276" w:lineRule="auto"/>
            <w:ind w:right="418"/>
            <w:jc w:val="center"/>
            <w:rPr>
              <w:rFonts w:ascii="Calibri" w:eastAsia="Yu Gothic UI" w:hAnsi="Calibri" w:cs="Arial"/>
              <w:b/>
              <w:color w:val="2F5496" w:themeColor="accent1" w:themeShade="BF"/>
              <w:sz w:val="28"/>
              <w:szCs w:val="28"/>
            </w:rPr>
          </w:pPr>
          <w:r>
            <w:rPr>
              <w:rFonts w:ascii="Calibri" w:eastAsia="Yu Gothic UI" w:hAnsi="Calibri" w:cs="Arial"/>
              <w:b/>
              <w:color w:val="2F5496" w:themeColor="accent1" w:themeShade="BF"/>
              <w:sz w:val="28"/>
              <w:szCs w:val="28"/>
            </w:rPr>
            <w:t>FICHAS RESUMEN DE SEGURIDAD</w:t>
          </w:r>
        </w:p>
      </w:tc>
      <w:tc>
        <w:tcPr>
          <w:tcW w:w="2080" w:type="dxa"/>
          <w:vAlign w:val="center"/>
        </w:tcPr>
        <w:p w14:paraId="5A981E62" w14:textId="77777777" w:rsidR="003A17A4" w:rsidRPr="00693EC4" w:rsidRDefault="003A17A4" w:rsidP="003A17A4">
          <w:pPr>
            <w:rPr>
              <w:rFonts w:ascii="Calibri" w:eastAsia="Yu Gothic UI" w:hAnsi="Calibri" w:cs="Arial"/>
              <w:color w:val="8496B0"/>
              <w:sz w:val="16"/>
              <w:szCs w:val="16"/>
            </w:rPr>
          </w:pPr>
          <w:r w:rsidRPr="00693EC4">
            <w:rPr>
              <w:rFonts w:ascii="Calibri" w:eastAsia="Yu Gothic UI" w:hAnsi="Calibri" w:cs="Arial"/>
              <w:color w:val="8496B0"/>
              <w:sz w:val="16"/>
              <w:szCs w:val="16"/>
            </w:rPr>
            <w:t xml:space="preserve">Versión: </w:t>
          </w:r>
          <w:r>
            <w:rPr>
              <w:rFonts w:ascii="Calibri" w:eastAsia="Yu Gothic UI" w:hAnsi="Calibri" w:cs="Arial"/>
              <w:color w:val="8496B0"/>
              <w:sz w:val="16"/>
              <w:szCs w:val="16"/>
            </w:rPr>
            <w:t>1</w:t>
          </w:r>
        </w:p>
        <w:p w14:paraId="18D27E34" w14:textId="77777777" w:rsidR="003A17A4" w:rsidRPr="00693EC4" w:rsidRDefault="003A17A4" w:rsidP="003A17A4">
          <w:pPr>
            <w:rPr>
              <w:rFonts w:ascii="Calibri" w:eastAsia="Yu Gothic UI" w:hAnsi="Calibri" w:cs="Arial"/>
              <w:color w:val="8496B0"/>
              <w:sz w:val="16"/>
              <w:szCs w:val="16"/>
            </w:rPr>
          </w:pPr>
          <w:r w:rsidRPr="00693EC4">
            <w:rPr>
              <w:rFonts w:ascii="Calibri" w:eastAsia="Yu Gothic UI" w:hAnsi="Calibri" w:cs="Arial"/>
              <w:color w:val="8496B0"/>
              <w:sz w:val="16"/>
              <w:szCs w:val="16"/>
            </w:rPr>
            <w:t xml:space="preserve">Fecha: </w:t>
          </w:r>
          <w:r>
            <w:rPr>
              <w:rFonts w:ascii="Calibri" w:eastAsia="Yu Gothic UI" w:hAnsi="Calibri" w:cs="Arial"/>
              <w:color w:val="8496B0"/>
              <w:sz w:val="16"/>
              <w:szCs w:val="16"/>
            </w:rPr>
            <w:t>30/09/2026</w:t>
          </w:r>
        </w:p>
        <w:p w14:paraId="5E405A3E" w14:textId="77777777" w:rsidR="003A17A4" w:rsidRDefault="003A17A4" w:rsidP="003A17A4">
          <w:pPr>
            <w:rPr>
              <w:rFonts w:ascii="Calibri" w:eastAsia="Yu Gothic UI" w:hAnsi="Calibri" w:cs="Arial"/>
              <w:color w:val="8496B0"/>
              <w:sz w:val="16"/>
              <w:szCs w:val="16"/>
            </w:rPr>
          </w:pPr>
          <w:r w:rsidRPr="00693EC4">
            <w:rPr>
              <w:rFonts w:ascii="Calibri" w:eastAsia="Yu Gothic UI" w:hAnsi="Calibri" w:cs="Arial"/>
              <w:color w:val="8496B0"/>
              <w:sz w:val="16"/>
              <w:szCs w:val="16"/>
            </w:rPr>
            <w:t>Elaborado: Nicolás Seguel A.</w:t>
          </w:r>
        </w:p>
        <w:p w14:paraId="65D2F60E" w14:textId="77777777" w:rsidR="003A17A4" w:rsidRDefault="003A17A4" w:rsidP="003A17A4">
          <w:pPr>
            <w:rPr>
              <w:rFonts w:ascii="Calibri" w:eastAsia="Yu Gothic UI" w:hAnsi="Calibri" w:cs="Arial"/>
              <w:color w:val="8496B0"/>
              <w:sz w:val="16"/>
              <w:szCs w:val="16"/>
            </w:rPr>
          </w:pPr>
          <w:r>
            <w:rPr>
              <w:rFonts w:ascii="Calibri" w:eastAsia="Yu Gothic UI" w:hAnsi="Calibri" w:cs="Arial"/>
              <w:color w:val="8496B0"/>
              <w:sz w:val="16"/>
              <w:szCs w:val="16"/>
            </w:rPr>
            <w:t xml:space="preserve">Revisado: </w:t>
          </w:r>
        </w:p>
        <w:p w14:paraId="693668C0" w14:textId="77777777" w:rsidR="003A17A4" w:rsidRPr="00693EC4" w:rsidRDefault="003A17A4" w:rsidP="003A17A4">
          <w:pPr>
            <w:rPr>
              <w:rFonts w:ascii="Calibri" w:eastAsia="Yu Gothic UI" w:hAnsi="Calibri" w:cs="Arial"/>
              <w:color w:val="8496B0"/>
              <w:sz w:val="16"/>
              <w:szCs w:val="16"/>
            </w:rPr>
          </w:pPr>
          <w:r w:rsidRPr="00FA44B9">
            <w:rPr>
              <w:rFonts w:ascii="Calibri" w:eastAsia="Yu Gothic UI" w:hAnsi="Calibri" w:cs="Arial"/>
              <w:color w:val="8496B0"/>
              <w:sz w:val="16"/>
              <w:szCs w:val="16"/>
            </w:rPr>
            <w:t xml:space="preserve">Página </w:t>
          </w:r>
          <w:r w:rsidRPr="00FA44B9">
            <w:rPr>
              <w:rFonts w:ascii="Calibri" w:eastAsia="Yu Gothic UI" w:hAnsi="Calibri" w:cs="Arial"/>
              <w:color w:val="8496B0"/>
              <w:sz w:val="16"/>
              <w:szCs w:val="16"/>
            </w:rPr>
            <w:fldChar w:fldCharType="begin"/>
          </w:r>
          <w:r w:rsidRPr="00FA44B9">
            <w:rPr>
              <w:rFonts w:ascii="Calibri" w:eastAsia="Yu Gothic UI" w:hAnsi="Calibri" w:cs="Arial"/>
              <w:color w:val="8496B0"/>
              <w:sz w:val="16"/>
              <w:szCs w:val="16"/>
            </w:rPr>
            <w:instrText xml:space="preserve"> PAGE </w:instrText>
          </w:r>
          <w:r w:rsidRPr="00FA44B9">
            <w:rPr>
              <w:rFonts w:ascii="Calibri" w:eastAsia="Yu Gothic UI" w:hAnsi="Calibri" w:cs="Arial"/>
              <w:color w:val="8496B0"/>
              <w:sz w:val="16"/>
              <w:szCs w:val="16"/>
            </w:rPr>
            <w:fldChar w:fldCharType="separate"/>
          </w:r>
          <w:r w:rsidRPr="00FA44B9">
            <w:rPr>
              <w:rFonts w:ascii="Calibri" w:eastAsia="Yu Gothic UI" w:hAnsi="Calibri" w:cs="Arial"/>
              <w:color w:val="8496B0"/>
              <w:sz w:val="16"/>
              <w:szCs w:val="16"/>
            </w:rPr>
            <w:t>1</w:t>
          </w:r>
          <w:r w:rsidRPr="00FA44B9">
            <w:rPr>
              <w:rFonts w:ascii="Calibri" w:eastAsia="Yu Gothic UI" w:hAnsi="Calibri" w:cs="Arial"/>
              <w:color w:val="8496B0"/>
              <w:sz w:val="16"/>
              <w:szCs w:val="16"/>
            </w:rPr>
            <w:fldChar w:fldCharType="end"/>
          </w:r>
          <w:r w:rsidRPr="00FA44B9">
            <w:rPr>
              <w:rFonts w:ascii="Calibri" w:eastAsia="Yu Gothic UI" w:hAnsi="Calibri" w:cs="Arial"/>
              <w:color w:val="8496B0"/>
              <w:sz w:val="16"/>
              <w:szCs w:val="16"/>
            </w:rPr>
            <w:t xml:space="preserve"> de </w:t>
          </w:r>
          <w:r w:rsidRPr="00FA44B9">
            <w:rPr>
              <w:rFonts w:ascii="Calibri" w:eastAsia="Yu Gothic UI" w:hAnsi="Calibri" w:cs="Arial"/>
              <w:color w:val="8496B0"/>
              <w:sz w:val="16"/>
              <w:szCs w:val="16"/>
            </w:rPr>
            <w:fldChar w:fldCharType="begin"/>
          </w:r>
          <w:r w:rsidRPr="00FA44B9">
            <w:rPr>
              <w:rFonts w:ascii="Calibri" w:eastAsia="Yu Gothic UI" w:hAnsi="Calibri" w:cs="Arial"/>
              <w:color w:val="8496B0"/>
              <w:sz w:val="16"/>
              <w:szCs w:val="16"/>
            </w:rPr>
            <w:instrText xml:space="preserve"> NUMPAGES </w:instrText>
          </w:r>
          <w:r w:rsidRPr="00FA44B9">
            <w:rPr>
              <w:rFonts w:ascii="Calibri" w:eastAsia="Yu Gothic UI" w:hAnsi="Calibri" w:cs="Arial"/>
              <w:color w:val="8496B0"/>
              <w:sz w:val="16"/>
              <w:szCs w:val="16"/>
            </w:rPr>
            <w:fldChar w:fldCharType="separate"/>
          </w:r>
          <w:r w:rsidRPr="00FA44B9">
            <w:rPr>
              <w:rFonts w:ascii="Calibri" w:eastAsia="Yu Gothic UI" w:hAnsi="Calibri" w:cs="Arial"/>
              <w:color w:val="8496B0"/>
              <w:sz w:val="16"/>
              <w:szCs w:val="16"/>
            </w:rPr>
            <w:t>1</w:t>
          </w:r>
          <w:r w:rsidRPr="00FA44B9">
            <w:rPr>
              <w:rFonts w:ascii="Calibri" w:eastAsia="Yu Gothic UI" w:hAnsi="Calibri" w:cs="Arial"/>
              <w:color w:val="8496B0"/>
              <w:sz w:val="16"/>
              <w:szCs w:val="16"/>
            </w:rPr>
            <w:fldChar w:fldCharType="end"/>
          </w:r>
        </w:p>
      </w:tc>
    </w:tr>
  </w:tbl>
  <w:p w14:paraId="28C27697" w14:textId="7C0F9F0D" w:rsidR="001C7666" w:rsidRPr="001C7666" w:rsidRDefault="001C7666" w:rsidP="003A17A4">
    <w:pPr>
      <w:spacing w:after="60" w:line="276" w:lineRule="auto"/>
      <w:ind w:right="418"/>
      <w:rPr>
        <w:rFonts w:ascii="Calibri" w:eastAsia="Yu Gothic UI" w:hAnsi="Calibri" w:cs="Arial"/>
        <w:b/>
        <w:color w:val="8496B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2837D6"/>
    <w:multiLevelType w:val="hybridMultilevel"/>
    <w:tmpl w:val="6C160D72"/>
    <w:lvl w:ilvl="0" w:tplc="A62EC59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250202FA">
      <w:start w:val="2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eastAsia="Times New Roman" w:hAnsi="Symbol" w:cs="Times New Roman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E64C81"/>
    <w:multiLevelType w:val="multilevel"/>
    <w:tmpl w:val="24DC54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2A9B266C"/>
    <w:multiLevelType w:val="hybridMultilevel"/>
    <w:tmpl w:val="C65C4F48"/>
    <w:lvl w:ilvl="0" w:tplc="CB54FF1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E213A7"/>
    <w:multiLevelType w:val="multilevel"/>
    <w:tmpl w:val="1E76F2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33C83ED9"/>
    <w:multiLevelType w:val="hybridMultilevel"/>
    <w:tmpl w:val="39AE3B0E"/>
    <w:lvl w:ilvl="0" w:tplc="A776D4B2">
      <w:start w:val="5"/>
      <w:numFmt w:val="lowerLetter"/>
      <w:lvlText w:val="%1)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5" w15:restartNumberingAfterBreak="0">
    <w:nsid w:val="48FC3B68"/>
    <w:multiLevelType w:val="multilevel"/>
    <w:tmpl w:val="1E76F2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4A02660B"/>
    <w:multiLevelType w:val="multilevel"/>
    <w:tmpl w:val="1E32CE5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6BA437C8"/>
    <w:multiLevelType w:val="hybridMultilevel"/>
    <w:tmpl w:val="9CA054B6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7003866">
      <w:start w:val="1"/>
      <w:numFmt w:val="lowerLetter"/>
      <w:lvlText w:val="%3)"/>
      <w:lvlJc w:val="left"/>
      <w:pPr>
        <w:tabs>
          <w:tab w:val="num" w:pos="2340"/>
        </w:tabs>
        <w:ind w:left="2340" w:hanging="360"/>
      </w:pPr>
      <w:rPr>
        <w:rFonts w:hint="default"/>
        <w:color w:val="auto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7F616DDF"/>
    <w:multiLevelType w:val="singleLevel"/>
    <w:tmpl w:val="0C0A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 w16cid:durableId="1434519801">
    <w:abstractNumId w:val="8"/>
  </w:num>
  <w:num w:numId="2" w16cid:durableId="1419405445">
    <w:abstractNumId w:val="7"/>
  </w:num>
  <w:num w:numId="3" w16cid:durableId="473445384">
    <w:abstractNumId w:val="4"/>
  </w:num>
  <w:num w:numId="4" w16cid:durableId="1028800096">
    <w:abstractNumId w:val="0"/>
  </w:num>
  <w:num w:numId="5" w16cid:durableId="1466004534">
    <w:abstractNumId w:val="3"/>
  </w:num>
  <w:num w:numId="6" w16cid:durableId="574314422">
    <w:abstractNumId w:val="6"/>
  </w:num>
  <w:num w:numId="7" w16cid:durableId="1705056673">
    <w:abstractNumId w:val="1"/>
  </w:num>
  <w:num w:numId="8" w16cid:durableId="266039772">
    <w:abstractNumId w:val="2"/>
  </w:num>
  <w:num w:numId="9" w16cid:durableId="7762912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5E9B"/>
    <w:rsid w:val="00021547"/>
    <w:rsid w:val="00072A5A"/>
    <w:rsid w:val="000A3505"/>
    <w:rsid w:val="000B72D8"/>
    <w:rsid w:val="00172A0F"/>
    <w:rsid w:val="00185051"/>
    <w:rsid w:val="001C5A5B"/>
    <w:rsid w:val="001C7666"/>
    <w:rsid w:val="001E2753"/>
    <w:rsid w:val="001F03C9"/>
    <w:rsid w:val="0021104A"/>
    <w:rsid w:val="00272078"/>
    <w:rsid w:val="002903E2"/>
    <w:rsid w:val="002D7E6D"/>
    <w:rsid w:val="002E7726"/>
    <w:rsid w:val="00330A46"/>
    <w:rsid w:val="00332464"/>
    <w:rsid w:val="00342272"/>
    <w:rsid w:val="003A17A4"/>
    <w:rsid w:val="003B5FBE"/>
    <w:rsid w:val="003B70F4"/>
    <w:rsid w:val="003D670D"/>
    <w:rsid w:val="003D6CE9"/>
    <w:rsid w:val="00403765"/>
    <w:rsid w:val="004556DF"/>
    <w:rsid w:val="00487546"/>
    <w:rsid w:val="004B2C76"/>
    <w:rsid w:val="004B3787"/>
    <w:rsid w:val="004D0F88"/>
    <w:rsid w:val="004D447C"/>
    <w:rsid w:val="004F0B2C"/>
    <w:rsid w:val="00592403"/>
    <w:rsid w:val="006250CD"/>
    <w:rsid w:val="00625E9B"/>
    <w:rsid w:val="00655447"/>
    <w:rsid w:val="00694D38"/>
    <w:rsid w:val="006F0422"/>
    <w:rsid w:val="006F5274"/>
    <w:rsid w:val="00742C97"/>
    <w:rsid w:val="007E27D8"/>
    <w:rsid w:val="00804309"/>
    <w:rsid w:val="00862863"/>
    <w:rsid w:val="008764E3"/>
    <w:rsid w:val="00975833"/>
    <w:rsid w:val="009767C2"/>
    <w:rsid w:val="0099206F"/>
    <w:rsid w:val="009B2DB7"/>
    <w:rsid w:val="009C0822"/>
    <w:rsid w:val="009E7288"/>
    <w:rsid w:val="009F65E7"/>
    <w:rsid w:val="00A46F51"/>
    <w:rsid w:val="00A55BF5"/>
    <w:rsid w:val="00A8403A"/>
    <w:rsid w:val="00B241FD"/>
    <w:rsid w:val="00BD4147"/>
    <w:rsid w:val="00C45FF3"/>
    <w:rsid w:val="00C925F6"/>
    <w:rsid w:val="00C943CC"/>
    <w:rsid w:val="00CD0188"/>
    <w:rsid w:val="00CD7FA6"/>
    <w:rsid w:val="00D053C8"/>
    <w:rsid w:val="00D42642"/>
    <w:rsid w:val="00DB538A"/>
    <w:rsid w:val="00E00575"/>
    <w:rsid w:val="00E1444B"/>
    <w:rsid w:val="00E42060"/>
    <w:rsid w:val="00E44E53"/>
    <w:rsid w:val="00E50C3A"/>
    <w:rsid w:val="00EB7981"/>
    <w:rsid w:val="00EE3FBC"/>
    <w:rsid w:val="00F174FF"/>
    <w:rsid w:val="00F51BEE"/>
    <w:rsid w:val="00F9075A"/>
    <w:rsid w:val="00F92D6B"/>
    <w:rsid w:val="00FC1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060C8D0"/>
  <w15:chartTrackingRefBased/>
  <w15:docId w15:val="{E93FD549-C8A6-4673-908F-62397DE47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6F0422"/>
    <w:rPr>
      <w:sz w:val="24"/>
      <w:szCs w:val="24"/>
      <w:lang w:eastAsia="es-ES"/>
    </w:rPr>
  </w:style>
  <w:style w:type="paragraph" w:styleId="Ttulo3">
    <w:name w:val="heading 3"/>
    <w:basedOn w:val="Normal"/>
    <w:next w:val="Normal"/>
    <w:qFormat/>
    <w:rsid w:val="006F0422"/>
    <w:pPr>
      <w:keepNext/>
      <w:spacing w:line="360" w:lineRule="atLeast"/>
      <w:ind w:left="708" w:hanging="708"/>
      <w:jc w:val="both"/>
      <w:outlineLvl w:val="2"/>
    </w:pPr>
    <w:rPr>
      <w:szCs w:val="20"/>
      <w:lang w:val="es-ES"/>
    </w:rPr>
  </w:style>
  <w:style w:type="paragraph" w:styleId="Ttulo4">
    <w:name w:val="heading 4"/>
    <w:basedOn w:val="Normal"/>
    <w:next w:val="Normal"/>
    <w:qFormat/>
    <w:rsid w:val="006F0422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6F04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rsid w:val="006F0422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6F0422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sid w:val="00A55BF5"/>
    <w:rPr>
      <w:rFonts w:ascii="Tahoma" w:hAnsi="Tahoma" w:cs="Tahoma"/>
      <w:sz w:val="16"/>
      <w:szCs w:val="16"/>
    </w:rPr>
  </w:style>
  <w:style w:type="character" w:styleId="Refdecomentario">
    <w:name w:val="annotation reference"/>
    <w:semiHidden/>
    <w:rsid w:val="00403765"/>
    <w:rPr>
      <w:sz w:val="16"/>
      <w:szCs w:val="16"/>
    </w:rPr>
  </w:style>
  <w:style w:type="paragraph" w:styleId="Textocomentario">
    <w:name w:val="annotation text"/>
    <w:basedOn w:val="Normal"/>
    <w:semiHidden/>
    <w:rsid w:val="0040376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403765"/>
    <w:rPr>
      <w:b/>
      <w:bCs/>
    </w:rPr>
  </w:style>
  <w:style w:type="character" w:styleId="Hipervnculo">
    <w:name w:val="Hyperlink"/>
    <w:uiPriority w:val="99"/>
    <w:unhideWhenUsed/>
    <w:rsid w:val="00C943CC"/>
    <w:rPr>
      <w:color w:val="0563C1"/>
      <w:u w:val="single"/>
    </w:rPr>
  </w:style>
  <w:style w:type="character" w:customStyle="1" w:styleId="PiedepginaCar">
    <w:name w:val="Pie de página Car"/>
    <w:link w:val="Piedepgina"/>
    <w:uiPriority w:val="99"/>
    <w:rsid w:val="00DB538A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2E6A1E-DC2B-F74D-B14F-5027CBDD0A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180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PROCEDIMIENTO PARA TRABAJOS EN ALTURA FISICA</vt:lpstr>
    </vt:vector>
  </TitlesOfParts>
  <Company>Universidad Catolica de Chile</Company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PROCEDIMIENTO PARA TRABAJOS EN ALTURA FISICA</dc:title>
  <dc:subject/>
  <dc:creator>Depto de Prevencion Puc</dc:creator>
  <cp:keywords/>
  <dc:description/>
  <cp:lastModifiedBy>Verónica Elisa Arenas Morales</cp:lastModifiedBy>
  <cp:revision>2</cp:revision>
  <cp:lastPrinted>2011-09-05T15:16:00Z</cp:lastPrinted>
  <dcterms:created xsi:type="dcterms:W3CDTF">2023-04-21T16:05:00Z</dcterms:created>
  <dcterms:modified xsi:type="dcterms:W3CDTF">2023-04-21T16:05:00Z</dcterms:modified>
</cp:coreProperties>
</file>