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23413F" w14:textId="50624EC4" w:rsidR="00E50C3A" w:rsidRDefault="00975833" w:rsidP="00742C97">
      <w:pPr>
        <w:jc w:val="both"/>
        <w:rPr>
          <w:rFonts w:asciiTheme="minorHAnsi" w:hAnsiTheme="minorHAnsi"/>
          <w:sz w:val="20"/>
        </w:rPr>
      </w:pPr>
      <w:r>
        <w:rPr>
          <w:rFonts w:asciiTheme="minorHAnsi" w:hAnsiTheme="minorHAnsi"/>
          <w:sz w:val="20"/>
        </w:rPr>
        <w:t xml:space="preserve">El siguiente documento, tiene como objetivo </w:t>
      </w:r>
      <w:r w:rsidR="00E1444B">
        <w:rPr>
          <w:rFonts w:asciiTheme="minorHAnsi" w:hAnsiTheme="minorHAnsi"/>
          <w:sz w:val="20"/>
        </w:rPr>
        <w:t>identificar los</w:t>
      </w:r>
      <w:r>
        <w:rPr>
          <w:rFonts w:asciiTheme="minorHAnsi" w:hAnsiTheme="minorHAnsi"/>
          <w:sz w:val="20"/>
        </w:rPr>
        <w:t xml:space="preserve"> factores de riesgos presentes en los distintos procedimientos que se realizan en </w:t>
      </w:r>
      <w:r w:rsidR="00E1444B">
        <w:rPr>
          <w:rFonts w:asciiTheme="minorHAnsi" w:hAnsiTheme="minorHAnsi"/>
          <w:sz w:val="20"/>
        </w:rPr>
        <w:t>el</w:t>
      </w:r>
      <w:r>
        <w:rPr>
          <w:rFonts w:asciiTheme="minorHAnsi" w:hAnsiTheme="minorHAnsi"/>
          <w:sz w:val="20"/>
        </w:rPr>
        <w:t xml:space="preserve"> </w:t>
      </w:r>
      <w:r w:rsidR="00E1444B">
        <w:rPr>
          <w:rFonts w:asciiTheme="minorHAnsi" w:hAnsiTheme="minorHAnsi"/>
          <w:sz w:val="20"/>
        </w:rPr>
        <w:t>laboratorio</w:t>
      </w:r>
      <w:r w:rsidR="000B72D8">
        <w:rPr>
          <w:rFonts w:asciiTheme="minorHAnsi" w:hAnsiTheme="minorHAnsi"/>
          <w:sz w:val="20"/>
        </w:rPr>
        <w:t xml:space="preserve"> y las medidas de seguridad que se deben implementar para que el trabajo se realice de manera segura.</w:t>
      </w:r>
    </w:p>
    <w:p w14:paraId="5A47F59A" w14:textId="77777777" w:rsidR="00975833" w:rsidRPr="00E50C3A" w:rsidRDefault="00975833" w:rsidP="00742C97">
      <w:pPr>
        <w:jc w:val="both"/>
        <w:rPr>
          <w:rFonts w:asciiTheme="minorHAnsi" w:hAnsiTheme="minorHAnsi"/>
          <w:sz w:val="20"/>
        </w:rPr>
      </w:pPr>
    </w:p>
    <w:p w14:paraId="2F09D47A" w14:textId="3ED5A663" w:rsidR="00742C97" w:rsidRDefault="00742C97" w:rsidP="00742C97">
      <w:pPr>
        <w:jc w:val="both"/>
        <w:rPr>
          <w:rFonts w:asciiTheme="minorHAnsi" w:hAnsiTheme="minorHAnsi"/>
          <w:sz w:val="20"/>
        </w:rPr>
      </w:pPr>
      <w:r w:rsidRPr="00742C97">
        <w:rPr>
          <w:rFonts w:asciiTheme="minorHAnsi" w:hAnsiTheme="minorHAnsi"/>
          <w:b/>
          <w:sz w:val="20"/>
        </w:rPr>
        <w:t>Tabla 1. Identificación del laboratorio.</w:t>
      </w:r>
      <w:r>
        <w:rPr>
          <w:rFonts w:asciiTheme="minorHAnsi" w:hAnsiTheme="minorHAnsi"/>
          <w:sz w:val="20"/>
        </w:rPr>
        <w:t xml:space="preserve"> En la siguiente tabla, complete los antecedentes del laboratorio en el que rea</w:t>
      </w:r>
      <w:r w:rsidR="0099206F">
        <w:rPr>
          <w:rFonts w:asciiTheme="minorHAnsi" w:hAnsiTheme="minorHAnsi"/>
          <w:sz w:val="20"/>
        </w:rPr>
        <w:t>l</w:t>
      </w:r>
      <w:r>
        <w:rPr>
          <w:rFonts w:asciiTheme="minorHAnsi" w:hAnsiTheme="minorHAnsi"/>
          <w:sz w:val="20"/>
        </w:rPr>
        <w:t>izará las actividades. Indique además, qué Académico/a(s) es responsable de dichos procedimientos, y en caso de aplicar, señale el nivel de bioseguridad del laboratorio (1, 2, 3, N/A).</w:t>
      </w:r>
    </w:p>
    <w:p w14:paraId="00BF2BBA" w14:textId="77777777" w:rsidR="00742C97" w:rsidRPr="00742C97" w:rsidRDefault="00742C97" w:rsidP="00742C97">
      <w:pPr>
        <w:jc w:val="both"/>
        <w:rPr>
          <w:rFonts w:asciiTheme="minorHAnsi" w:hAnsiTheme="minorHAnsi"/>
          <w:sz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02"/>
        <w:gridCol w:w="6803"/>
      </w:tblGrid>
      <w:tr w:rsidR="00FC115D" w14:paraId="10592480" w14:textId="77777777" w:rsidTr="003A17A4">
        <w:tc>
          <w:tcPr>
            <w:tcW w:w="3402" w:type="dxa"/>
            <w:shd w:val="clear" w:color="auto" w:fill="E7E6E6" w:themeFill="background2"/>
          </w:tcPr>
          <w:p w14:paraId="5217F2E0" w14:textId="0FC12520" w:rsidR="00A46F51" w:rsidRPr="00A46F51" w:rsidRDefault="00A46F51" w:rsidP="006F0422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A46F51">
              <w:rPr>
                <w:rFonts w:ascii="Calibri" w:hAnsi="Calibri" w:cs="Calibri"/>
                <w:b/>
                <w:sz w:val="20"/>
                <w:szCs w:val="20"/>
              </w:rPr>
              <w:t>Facultad</w:t>
            </w:r>
          </w:p>
        </w:tc>
        <w:tc>
          <w:tcPr>
            <w:tcW w:w="6803" w:type="dxa"/>
          </w:tcPr>
          <w:p w14:paraId="7BCD5C41" w14:textId="7E2027BF" w:rsidR="00A46F51" w:rsidRPr="009767C2" w:rsidRDefault="00A46F51" w:rsidP="006F0422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color w:val="538135" w:themeColor="accent6" w:themeShade="BF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20"/>
              </w:rPr>
              <w:t>Facultad de Ingeniería</w:t>
            </w:r>
          </w:p>
        </w:tc>
      </w:tr>
      <w:tr w:rsidR="00FC115D" w14:paraId="29AF164A" w14:textId="77777777" w:rsidTr="003A17A4">
        <w:tc>
          <w:tcPr>
            <w:tcW w:w="3402" w:type="dxa"/>
            <w:shd w:val="clear" w:color="auto" w:fill="E7E6E6" w:themeFill="background2"/>
          </w:tcPr>
          <w:p w14:paraId="46D9F1C8" w14:textId="7FBA0407" w:rsidR="00A46F51" w:rsidRPr="00A46F51" w:rsidRDefault="00A46F51" w:rsidP="006F0422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A46F51">
              <w:rPr>
                <w:rFonts w:ascii="Calibri" w:hAnsi="Calibri" w:cs="Calibri"/>
                <w:b/>
                <w:sz w:val="20"/>
                <w:szCs w:val="20"/>
              </w:rPr>
              <w:t>Laboratorio</w:t>
            </w:r>
          </w:p>
        </w:tc>
        <w:tc>
          <w:tcPr>
            <w:tcW w:w="6803" w:type="dxa"/>
          </w:tcPr>
          <w:p w14:paraId="321D50BC" w14:textId="32A1C8DE" w:rsidR="00A46F51" w:rsidRPr="009767C2" w:rsidRDefault="00A46F51" w:rsidP="006F0422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color w:val="538135" w:themeColor="accent6" w:themeShade="BF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20"/>
              </w:rPr>
              <w:t>Centro de AstroIngeniería UC (AIUC) – Campus San Joaquín</w:t>
            </w:r>
          </w:p>
        </w:tc>
      </w:tr>
      <w:tr w:rsidR="00FC115D" w14:paraId="5955A2B0" w14:textId="77777777" w:rsidTr="003A17A4">
        <w:tc>
          <w:tcPr>
            <w:tcW w:w="3402" w:type="dxa"/>
            <w:shd w:val="clear" w:color="auto" w:fill="E7E6E6" w:themeFill="background2"/>
          </w:tcPr>
          <w:p w14:paraId="3CF6CE21" w14:textId="459AA8FE" w:rsidR="00A46F51" w:rsidRPr="00A46F51" w:rsidRDefault="00A46F51" w:rsidP="006F0422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A46F51">
              <w:rPr>
                <w:rFonts w:ascii="Calibri" w:hAnsi="Calibri" w:cs="Calibri"/>
                <w:b/>
                <w:sz w:val="20"/>
                <w:szCs w:val="20"/>
              </w:rPr>
              <w:t>Académico</w:t>
            </w:r>
            <w:r w:rsidR="00742C97">
              <w:rPr>
                <w:rFonts w:ascii="Calibri" w:hAnsi="Calibri" w:cs="Calibri"/>
                <w:b/>
                <w:sz w:val="20"/>
                <w:szCs w:val="20"/>
              </w:rPr>
              <w:t>(s)</w:t>
            </w:r>
            <w:r w:rsidRPr="00A46F51">
              <w:rPr>
                <w:rFonts w:ascii="Calibri" w:hAnsi="Calibri" w:cs="Calibri"/>
                <w:b/>
                <w:sz w:val="20"/>
                <w:szCs w:val="20"/>
              </w:rPr>
              <w:t xml:space="preserve"> Responsable</w:t>
            </w:r>
            <w:r w:rsidR="00742C97">
              <w:rPr>
                <w:rFonts w:ascii="Calibri" w:hAnsi="Calibri" w:cs="Calibri"/>
                <w:b/>
                <w:sz w:val="20"/>
                <w:szCs w:val="20"/>
              </w:rPr>
              <w:t>(s)</w:t>
            </w:r>
          </w:p>
        </w:tc>
        <w:tc>
          <w:tcPr>
            <w:tcW w:w="6803" w:type="dxa"/>
          </w:tcPr>
          <w:p w14:paraId="634E9922" w14:textId="3AC394F3" w:rsidR="00A46F51" w:rsidRPr="009767C2" w:rsidRDefault="00A46F51" w:rsidP="006F0422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color w:val="538135" w:themeColor="accent6" w:themeShade="BF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20"/>
              </w:rPr>
              <w:t>Marilyn Cruces</w:t>
            </w:r>
          </w:p>
        </w:tc>
      </w:tr>
      <w:tr w:rsidR="00FC115D" w14:paraId="5A4121F9" w14:textId="77777777" w:rsidTr="003A17A4">
        <w:tc>
          <w:tcPr>
            <w:tcW w:w="3402" w:type="dxa"/>
            <w:shd w:val="clear" w:color="auto" w:fill="E7E6E6" w:themeFill="background2"/>
          </w:tcPr>
          <w:p w14:paraId="454F2503" w14:textId="1A1B9214" w:rsidR="00A46F51" w:rsidRPr="00A46F51" w:rsidRDefault="00A46F51" w:rsidP="006F0422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A46F51">
              <w:rPr>
                <w:rFonts w:ascii="Calibri" w:hAnsi="Calibri" w:cs="Calibri"/>
                <w:b/>
                <w:sz w:val="20"/>
                <w:szCs w:val="20"/>
              </w:rPr>
              <w:t>Nivel de Bioseguridad</w:t>
            </w:r>
          </w:p>
        </w:tc>
        <w:tc>
          <w:tcPr>
            <w:tcW w:w="6803" w:type="dxa"/>
          </w:tcPr>
          <w:p w14:paraId="084BAD39" w14:textId="7C35F3E2" w:rsidR="00A46F51" w:rsidRPr="009767C2" w:rsidRDefault="00A46F51" w:rsidP="006F0422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color w:val="538135" w:themeColor="accent6" w:themeShade="BF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20"/>
              </w:rPr>
              <w:t>N/A (no se manipulan agentes biológicos)</w:t>
            </w:r>
          </w:p>
        </w:tc>
      </w:tr>
    </w:tbl>
    <w:p w14:paraId="5A7876B2" w14:textId="77777777" w:rsidR="00A46F51" w:rsidRDefault="00A46F51" w:rsidP="006F0422">
      <w:pPr>
        <w:autoSpaceDE w:val="0"/>
        <w:autoSpaceDN w:val="0"/>
        <w:adjustRightInd w:val="0"/>
        <w:jc w:val="both"/>
        <w:rPr>
          <w:rFonts w:ascii="Calibri" w:hAnsi="Calibri" w:cs="Calibri"/>
          <w:sz w:val="20"/>
          <w:szCs w:val="20"/>
        </w:rPr>
      </w:pPr>
    </w:p>
    <w:p w14:paraId="6876C253" w14:textId="7E54A8AB" w:rsidR="00742C97" w:rsidRDefault="00742C97" w:rsidP="006F0422">
      <w:pPr>
        <w:autoSpaceDE w:val="0"/>
        <w:autoSpaceDN w:val="0"/>
        <w:adjustRightInd w:val="0"/>
        <w:jc w:val="both"/>
        <w:rPr>
          <w:rFonts w:ascii="Calibri" w:hAnsi="Calibri" w:cs="Calibri"/>
          <w:sz w:val="20"/>
          <w:szCs w:val="20"/>
        </w:rPr>
      </w:pPr>
      <w:r w:rsidRPr="003D670D">
        <w:rPr>
          <w:rFonts w:ascii="Calibri" w:hAnsi="Calibri" w:cs="Calibri"/>
          <w:b/>
          <w:sz w:val="20"/>
          <w:szCs w:val="20"/>
        </w:rPr>
        <w:t>Tabla 2. Procedimiento</w:t>
      </w:r>
      <w:r w:rsidR="003A17A4">
        <w:rPr>
          <w:rFonts w:ascii="Calibri" w:hAnsi="Calibri" w:cs="Calibri"/>
          <w:b/>
          <w:sz w:val="20"/>
          <w:szCs w:val="20"/>
        </w:rPr>
        <w:t xml:space="preserve"> a realizar</w:t>
      </w:r>
      <w:r w:rsidRPr="003D670D">
        <w:rPr>
          <w:rFonts w:ascii="Calibri" w:hAnsi="Calibri" w:cs="Calibri"/>
          <w:b/>
          <w:sz w:val="20"/>
          <w:szCs w:val="20"/>
        </w:rPr>
        <w:t>.</w:t>
      </w:r>
      <w:r>
        <w:rPr>
          <w:rFonts w:ascii="Calibri" w:hAnsi="Calibri" w:cs="Calibri"/>
          <w:sz w:val="20"/>
          <w:szCs w:val="20"/>
        </w:rPr>
        <w:t xml:space="preserve"> </w:t>
      </w:r>
      <w:r w:rsidR="003A17A4">
        <w:rPr>
          <w:rFonts w:ascii="Calibri" w:hAnsi="Calibri" w:cs="Calibri"/>
          <w:sz w:val="20"/>
          <w:szCs w:val="20"/>
        </w:rPr>
        <w:t>En la siguiente tabla, indique el nombre del procedimiento, la descripción, factores de riesgo que identifique, en qué área del laboratorio se realizará el procedimiento y elementos de protección personal (EPP) que se deben utilizar.</w:t>
      </w:r>
    </w:p>
    <w:p w14:paraId="3FE3365C" w14:textId="77777777" w:rsidR="003A17A4" w:rsidRDefault="003A17A4" w:rsidP="006F0422">
      <w:pPr>
        <w:autoSpaceDE w:val="0"/>
        <w:autoSpaceDN w:val="0"/>
        <w:adjustRightInd w:val="0"/>
        <w:jc w:val="both"/>
        <w:rPr>
          <w:rFonts w:ascii="Calibri" w:hAnsi="Calibri" w:cs="Calibri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02"/>
        <w:gridCol w:w="6803"/>
      </w:tblGrid>
      <w:tr w:rsidR="003A17A4" w14:paraId="39E0C99E" w14:textId="77777777" w:rsidTr="003A17A4">
        <w:tc>
          <w:tcPr>
            <w:tcW w:w="3402" w:type="dxa"/>
            <w:shd w:val="clear" w:color="auto" w:fill="E7E6E6" w:themeFill="background2"/>
          </w:tcPr>
          <w:p w14:paraId="5DBE2D3A" w14:textId="77777777" w:rsidR="003A17A4" w:rsidRPr="00A46F51" w:rsidRDefault="003A17A4" w:rsidP="00BA2F26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Nombre del p</w:t>
            </w:r>
            <w:r w:rsidRPr="00A46F51">
              <w:rPr>
                <w:rFonts w:ascii="Calibri" w:hAnsi="Calibri" w:cs="Calibri"/>
                <w:b/>
                <w:sz w:val="20"/>
                <w:szCs w:val="20"/>
              </w:rPr>
              <w:t>rocedimiento</w:t>
            </w:r>
          </w:p>
        </w:tc>
        <w:tc>
          <w:tcPr>
            <w:tcW w:w="6803" w:type="dxa"/>
          </w:tcPr>
          <w:p w14:paraId="63D9E987" w14:textId="77777777" w:rsidR="003A17A4" w:rsidRDefault="003A17A4" w:rsidP="00BA2F26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/>
                <w:i w:val="0"/>
                <w:sz w:val="20"/>
              </w:rPr>
              <w:t>Metalizado de cobre: preparación del baño electrolítico (sulfato de cobre y ácido sulfúrico) y electrodeposición</w:t>
            </w:r>
          </w:p>
        </w:tc>
      </w:tr>
    </w:tbl>
    <w:p w14:paraId="108CAACB" w14:textId="77777777" w:rsidR="003A17A4" w:rsidRDefault="003A17A4" w:rsidP="006F0422">
      <w:pPr>
        <w:autoSpaceDE w:val="0"/>
        <w:autoSpaceDN w:val="0"/>
        <w:adjustRightInd w:val="0"/>
        <w:jc w:val="both"/>
        <w:rPr>
          <w:rFonts w:ascii="Calibri" w:hAnsi="Calibri" w:cs="Calibri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02"/>
        <w:gridCol w:w="6803"/>
      </w:tblGrid>
      <w:tr w:rsidR="003A17A4" w14:paraId="224C2C8C" w14:textId="77777777" w:rsidTr="003A17A4">
        <w:trPr>
          <w:trHeight w:val="1701"/>
        </w:trPr>
        <w:tc>
          <w:tcPr>
            <w:tcW w:w="3402" w:type="dxa"/>
            <w:shd w:val="clear" w:color="auto" w:fill="E7E6E6" w:themeFill="background2"/>
            <w:vAlign w:val="center"/>
          </w:tcPr>
          <w:p w14:paraId="716FBC14" w14:textId="77777777" w:rsidR="003A17A4" w:rsidRPr="00FC115D" w:rsidRDefault="003A17A4" w:rsidP="003A17A4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20"/>
                <w:szCs w:val="20"/>
              </w:rPr>
            </w:pPr>
            <w:r w:rsidRPr="00FC115D">
              <w:rPr>
                <w:rFonts w:ascii="Calibri" w:hAnsi="Calibri" w:cs="Calibri"/>
                <w:b/>
                <w:sz w:val="20"/>
                <w:szCs w:val="20"/>
              </w:rPr>
              <w:t>Descripción de la actividad a realizar</w:t>
            </w:r>
          </w:p>
        </w:tc>
        <w:tc>
          <w:tcPr>
            <w:tcW w:w="6803" w:type="dxa"/>
          </w:tcPr>
          <w:p w14:paraId="668F4B64" w14:textId="77777777" w:rsidR="003A17A4" w:rsidRDefault="003A17A4" w:rsidP="00BA2F26">
            <w:pPr>
              <w:autoSpaceDE w:val="0"/>
              <w:autoSpaceDN w:val="0"/>
              <w:adjustRightInd w:val="0"/>
              <w:spacing w:before="0" w:after="40"/>
              <w:ind w:left="0" w:firstLine="0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/>
                <w:i w:val="0"/>
                <w:sz w:val="20"/>
              </w:rPr>
              <w:t>Antes de empezar</w:t>
            </w:r>
          </w:p>
          <w:p>
            <w:pPr>
              <w:spacing w:before="0" w:after="30"/>
              <w:ind w:left="482" w:hanging="369"/>
            </w:pPr>
            <w:r>
              <w:rPr>
                <w:rFonts w:ascii="Calibri" w:hAnsi="Calibri"/>
                <w:b w:val="0"/>
                <w:i w:val="0"/>
                <w:sz w:val="19"/>
              </w:rPr>
              <w:t>1.</w:t>
              <w:tab/>
              <w:t>Encender la campana de extracción.</w:t>
            </w:r>
          </w:p>
          <w:p>
            <w:pPr>
              <w:spacing w:before="0" w:after="30"/>
              <w:ind w:left="482" w:hanging="369"/>
            </w:pPr>
            <w:r>
              <w:rPr>
                <w:rFonts w:ascii="Calibri" w:hAnsi="Calibri"/>
                <w:b w:val="0"/>
                <w:i w:val="0"/>
                <w:sz w:val="19"/>
              </w:rPr>
              <w:t>2.</w:t>
              <w:tab/>
              <w:t>Ponerse el EPP.</w:t>
            </w:r>
          </w:p>
          <w:p>
            <w:pPr>
              <w:spacing w:before="0" w:after="30"/>
              <w:ind w:left="482" w:hanging="369"/>
            </w:pPr>
            <w:r>
              <w:rPr>
                <w:rFonts w:ascii="Calibri" w:hAnsi="Calibri"/>
                <w:b w:val="0"/>
                <w:i w:val="0"/>
                <w:sz w:val="19"/>
              </w:rPr>
              <w:t>3.</w:t>
              <w:tab/>
              <w:t>Trabajar acompañado.</w:t>
            </w:r>
          </w:p>
          <w:p>
            <w:pPr>
              <w:spacing w:before="0" w:after="30"/>
              <w:ind w:left="482" w:hanging="369"/>
            </w:pPr>
            <w:r>
              <w:rPr>
                <w:rFonts w:ascii="Calibri" w:hAnsi="Calibri"/>
                <w:b w:val="0"/>
                <w:i w:val="0"/>
                <w:sz w:val="19"/>
              </w:rPr>
              <w:t>4.</w:t>
              <w:tab/>
              <w:t>Tener a mano bicarbonato de sodio y kit de derrames.</w:t>
            </w:r>
          </w:p>
          <w:p>
            <w:pPr>
              <w:spacing w:before="0" w:after="30"/>
              <w:ind w:left="482" w:hanging="369"/>
            </w:pPr>
            <w:r>
              <w:rPr>
                <w:rFonts w:ascii="Calibri" w:hAnsi="Calibri"/>
                <w:b w:val="0"/>
                <w:i w:val="0"/>
                <w:sz w:val="19"/>
              </w:rPr>
              <w:t>5.</w:t>
              <w:tab/>
              <w:t>Poner el recipiente de HDPE en una bandeja de contención.</w:t>
            </w:r>
          </w:p>
          <w:p>
            <w:pPr>
              <w:keepNext/>
              <w:spacing w:before="100" w:after="40"/>
            </w:pPr>
            <w:r>
              <w:rPr>
                <w:rFonts w:ascii="Calibri" w:hAnsi="Calibri"/>
                <w:b/>
                <w:i w:val="0"/>
                <w:sz w:val="20"/>
              </w:rPr>
              <w:t>Preparar baño (10 L)</w:t>
            </w:r>
          </w:p>
          <w:p>
            <w:pPr>
              <w:spacing w:before="0" w:after="30"/>
              <w:ind w:left="482" w:hanging="369"/>
            </w:pPr>
            <w:r>
              <w:rPr>
                <w:rFonts w:ascii="Calibri" w:hAnsi="Calibri"/>
                <w:b w:val="0"/>
                <w:i w:val="0"/>
                <w:sz w:val="19"/>
              </w:rPr>
              <w:t>6.</w:t>
              <w:tab/>
              <w:t>Agregar 7 L de agua destilada tibia (~49 °C).</w:t>
            </w:r>
          </w:p>
          <w:p>
            <w:pPr>
              <w:spacing w:before="0" w:after="30"/>
              <w:ind w:left="482" w:hanging="369"/>
            </w:pPr>
            <w:r>
              <w:rPr>
                <w:rFonts w:ascii="Calibri" w:hAnsi="Calibri"/>
                <w:b w:val="0"/>
                <w:i w:val="0"/>
                <w:sz w:val="19"/>
              </w:rPr>
              <w:t>7.</w:t>
              <w:tab/>
              <w:t>Disolver 750 g de sulfato de cobre, agitando.</w:t>
            </w:r>
          </w:p>
          <w:p>
            <w:pPr>
              <w:spacing w:before="0" w:after="30"/>
              <w:ind w:left="482" w:hanging="369"/>
            </w:pPr>
            <w:r>
              <w:rPr>
                <w:rFonts w:ascii="Calibri" w:hAnsi="Calibri"/>
                <w:b w:val="0"/>
                <w:i w:val="0"/>
                <w:sz w:val="19"/>
              </w:rPr>
              <w:t>8.</w:t>
              <w:tab/>
              <w:t>Dejar enfriar.</w:t>
            </w:r>
          </w:p>
          <w:p>
            <w:pPr>
              <w:spacing w:before="0" w:after="30"/>
              <w:ind w:left="482" w:hanging="369"/>
            </w:pPr>
            <w:r>
              <w:rPr>
                <w:rFonts w:ascii="Calibri" w:hAnsi="Calibri"/>
                <w:b w:val="0"/>
                <w:i w:val="0"/>
                <w:sz w:val="19"/>
              </w:rPr>
              <w:t>9.</w:t>
              <w:tab/>
              <w:t xml:space="preserve">Bajo campana, agregar 0,70 L de ácido sulfúrico </w:t>
            </w:r>
            <w:r>
              <w:rPr>
                <w:rFonts w:ascii="Calibri" w:hAnsi="Calibri"/>
                <w:b/>
                <w:i w:val="0"/>
                <w:sz w:val="19"/>
              </w:rPr>
              <w:t>lentamente, de a poco, siempre ácido sobre agua</w:t>
            </w:r>
            <w:r>
              <w:rPr>
                <w:rFonts w:ascii="Calibri" w:hAnsi="Calibri"/>
                <w:b w:val="0"/>
                <w:i w:val="0"/>
                <w:sz w:val="19"/>
              </w:rPr>
              <w:t>.</w:t>
            </w:r>
          </w:p>
          <w:p>
            <w:pPr>
              <w:spacing w:before="0" w:after="30"/>
              <w:ind w:left="482" w:hanging="369"/>
            </w:pPr>
            <w:r>
              <w:rPr>
                <w:rFonts w:ascii="Calibri" w:hAnsi="Calibri"/>
                <w:b w:val="0"/>
                <w:i w:val="0"/>
                <w:sz w:val="19"/>
              </w:rPr>
              <w:t>10.</w:t>
              <w:tab/>
              <w:t>Esperar a que baje la temperatura entre cada adición.</w:t>
            </w:r>
          </w:p>
          <w:p>
            <w:pPr>
              <w:spacing w:before="0" w:after="30"/>
              <w:ind w:left="482" w:hanging="369"/>
            </w:pPr>
            <w:r>
              <w:rPr>
                <w:rFonts w:ascii="Calibri" w:hAnsi="Calibri"/>
                <w:b w:val="0"/>
                <w:i w:val="0"/>
                <w:sz w:val="19"/>
              </w:rPr>
              <w:t>11.</w:t>
              <w:tab/>
              <w:t>Agregar 0,9 g de NaCl.</w:t>
            </w:r>
          </w:p>
          <w:p>
            <w:pPr>
              <w:spacing w:before="0" w:after="30"/>
              <w:ind w:left="482" w:hanging="369"/>
            </w:pPr>
            <w:r>
              <w:rPr>
                <w:rFonts w:ascii="Calibri" w:hAnsi="Calibri"/>
                <w:b w:val="0"/>
                <w:i w:val="0"/>
                <w:sz w:val="19"/>
              </w:rPr>
              <w:t>12.</w:t>
              <w:tab/>
              <w:t>Completar con agua hasta 10 L.</w:t>
            </w:r>
          </w:p>
          <w:p>
            <w:pPr>
              <w:spacing w:before="0" w:after="30"/>
              <w:ind w:left="482" w:hanging="369"/>
            </w:pPr>
            <w:r>
              <w:rPr>
                <w:rFonts w:ascii="Calibri" w:hAnsi="Calibri"/>
                <w:b w:val="0"/>
                <w:i w:val="0"/>
                <w:sz w:val="19"/>
              </w:rPr>
              <w:t>13.</w:t>
              <w:tab/>
              <w:t>Tapar y rotular el recipiente.</w:t>
            </w:r>
          </w:p>
          <w:p>
            <w:pPr>
              <w:keepNext/>
              <w:spacing w:before="100" w:after="40"/>
            </w:pPr>
            <w:r>
              <w:rPr>
                <w:rFonts w:ascii="Calibri" w:hAnsi="Calibri"/>
                <w:b/>
                <w:i w:val="0"/>
                <w:sz w:val="20"/>
              </w:rPr>
              <w:t>Electrodeposición</w:t>
            </w:r>
          </w:p>
          <w:p>
            <w:pPr>
              <w:spacing w:before="0" w:after="30"/>
              <w:ind w:left="482" w:hanging="369"/>
            </w:pPr>
            <w:r>
              <w:rPr>
                <w:rFonts w:ascii="Calibri" w:hAnsi="Calibri"/>
                <w:b w:val="0"/>
                <w:i w:val="0"/>
                <w:sz w:val="19"/>
              </w:rPr>
              <w:t>14.</w:t>
              <w:tab/>
              <w:t>Verificar que la fuente esté apagada.</w:t>
            </w:r>
          </w:p>
          <w:p>
            <w:pPr>
              <w:spacing w:before="0" w:after="30"/>
              <w:ind w:left="482" w:hanging="369"/>
            </w:pPr>
            <w:r>
              <w:rPr>
                <w:rFonts w:ascii="Calibri" w:hAnsi="Calibri"/>
                <w:b w:val="0"/>
                <w:i w:val="0"/>
                <w:sz w:val="19"/>
              </w:rPr>
              <w:t>15.</w:t>
              <w:tab/>
              <w:t>Conectar la pieza al polo (−) con varios puntos de contacto.</w:t>
            </w:r>
          </w:p>
          <w:p>
            <w:pPr>
              <w:spacing w:before="0" w:after="30"/>
              <w:ind w:left="482" w:hanging="369"/>
            </w:pPr>
            <w:r>
              <w:rPr>
                <w:rFonts w:ascii="Calibri" w:hAnsi="Calibri"/>
                <w:b w:val="0"/>
                <w:i w:val="0"/>
                <w:sz w:val="19"/>
              </w:rPr>
              <w:t>16.</w:t>
              <w:tab/>
              <w:t>Conectar los ánodos de cobre al polo (+), a 20–30 cm entre sí.</w:t>
            </w:r>
          </w:p>
          <w:p>
            <w:pPr>
              <w:spacing w:before="0" w:after="30"/>
              <w:ind w:left="482" w:hanging="369"/>
            </w:pPr>
            <w:r>
              <w:rPr>
                <w:rFonts w:ascii="Calibri" w:hAnsi="Calibri"/>
                <w:b w:val="0"/>
                <w:i w:val="0"/>
                <w:sz w:val="19"/>
              </w:rPr>
              <w:t>17.</w:t>
              <w:tab/>
              <w:t>Sumergir la pieza entre los ánodos. Conexiones fuera del líquido.</w:t>
            </w:r>
          </w:p>
          <w:p>
            <w:pPr>
              <w:spacing w:before="0" w:after="30"/>
              <w:ind w:left="482" w:hanging="369"/>
            </w:pPr>
            <w:r>
              <w:rPr>
                <w:rFonts w:ascii="Calibri" w:hAnsi="Calibri"/>
                <w:b w:val="0"/>
                <w:i w:val="0"/>
                <w:sz w:val="19"/>
              </w:rPr>
              <w:t>18.</w:t>
              <w:tab/>
              <w:t>Encender el agitador a 500 rpm.</w:t>
            </w:r>
          </w:p>
          <w:p>
            <w:pPr>
              <w:spacing w:before="0" w:after="30"/>
              <w:ind w:left="482" w:hanging="369"/>
            </w:pPr>
            <w:r>
              <w:rPr>
                <w:rFonts w:ascii="Calibri" w:hAnsi="Calibri"/>
                <w:b w:val="0"/>
                <w:i w:val="0"/>
                <w:sz w:val="19"/>
              </w:rPr>
              <w:t>19.</w:t>
              <w:tab/>
              <w:t>Encender la fuente a 0,2–0,5 A/dm² hasta cubrir la pieza.</w:t>
            </w:r>
          </w:p>
          <w:p>
            <w:pPr>
              <w:spacing w:before="0" w:after="30"/>
              <w:ind w:left="482" w:hanging="369"/>
            </w:pPr>
            <w:r>
              <w:rPr>
                <w:rFonts w:ascii="Calibri" w:hAnsi="Calibri"/>
                <w:b w:val="0"/>
                <w:i w:val="0"/>
                <w:sz w:val="19"/>
              </w:rPr>
              <w:t>20.</w:t>
              <w:tab/>
              <w:t>Subir a 1–3 A/dm². Mantener el baño entre 20 y 45 °C.</w:t>
            </w:r>
          </w:p>
          <w:p>
            <w:pPr>
              <w:spacing w:before="0" w:after="30"/>
              <w:ind w:left="482" w:hanging="369"/>
            </w:pPr>
            <w:r>
              <w:rPr>
                <w:rFonts w:ascii="Calibri" w:hAnsi="Calibri"/>
                <w:b w:val="0"/>
                <w:i w:val="0"/>
                <w:sz w:val="19"/>
              </w:rPr>
              <w:t>21.</w:t>
              <w:tab/>
              <w:t>No dejar el baño encendido sin supervisión.</w:t>
            </w:r>
          </w:p>
          <w:p>
            <w:pPr>
              <w:spacing w:before="0" w:after="30"/>
              <w:ind w:left="482" w:hanging="369"/>
            </w:pPr>
            <w:r>
              <w:rPr>
                <w:rFonts w:ascii="Calibri" w:hAnsi="Calibri"/>
                <w:b w:val="0"/>
                <w:i w:val="0"/>
                <w:sz w:val="19"/>
              </w:rPr>
              <w:t>22.</w:t>
              <w:tab/>
              <w:t>No tocar electrodos con la fuente encendida.</w:t>
            </w:r>
          </w:p>
          <w:p>
            <w:pPr>
              <w:spacing w:before="0" w:after="30"/>
              <w:ind w:left="482" w:hanging="369"/>
            </w:pPr>
            <w:r>
              <w:rPr>
                <w:rFonts w:ascii="Calibri" w:hAnsi="Calibri"/>
                <w:b w:val="0"/>
                <w:i w:val="0"/>
                <w:sz w:val="19"/>
              </w:rPr>
              <w:t>23.</w:t>
              <w:tab/>
              <w:t>Apagar la fuente antes de retirar la pieza.</w:t>
            </w:r>
          </w:p>
          <w:p>
            <w:pPr>
              <w:keepNext/>
              <w:spacing w:before="100" w:after="40"/>
            </w:pPr>
            <w:r>
              <w:rPr>
                <w:rFonts w:ascii="Calibri" w:hAnsi="Calibri"/>
                <w:b/>
                <w:i w:val="0"/>
                <w:sz w:val="20"/>
              </w:rPr>
              <w:t>Al terminar</w:t>
            </w:r>
          </w:p>
          <w:p>
            <w:pPr>
              <w:spacing w:before="0" w:after="30"/>
              <w:ind w:left="482" w:hanging="369"/>
            </w:pPr>
            <w:r>
              <w:rPr>
                <w:rFonts w:ascii="Calibri" w:hAnsi="Calibri"/>
                <w:b w:val="0"/>
                <w:i w:val="0"/>
                <w:sz w:val="19"/>
              </w:rPr>
              <w:t>24.</w:t>
              <w:tab/>
              <w:t>Enjuagar la pieza en un vaso con agua y luego con agua limpia.</w:t>
            </w:r>
          </w:p>
          <w:p>
            <w:pPr>
              <w:spacing w:before="0" w:after="30"/>
              <w:ind w:left="482" w:hanging="369"/>
            </w:pPr>
            <w:r>
              <w:rPr>
                <w:rFonts w:ascii="Calibri" w:hAnsi="Calibri"/>
                <w:b w:val="0"/>
                <w:i w:val="0"/>
                <w:sz w:val="19"/>
              </w:rPr>
              <w:t>25.</w:t>
              <w:tab/>
              <w:t>Secar la pieza.</w:t>
            </w:r>
          </w:p>
          <w:p>
            <w:pPr>
              <w:spacing w:before="0" w:after="30"/>
              <w:ind w:left="482" w:hanging="369"/>
            </w:pPr>
            <w:r>
              <w:rPr>
                <w:rFonts w:ascii="Calibri" w:hAnsi="Calibri"/>
                <w:b w:val="0"/>
                <w:i w:val="0"/>
                <w:sz w:val="19"/>
              </w:rPr>
              <w:t>26.</w:t>
              <w:tab/>
              <w:t>Tapar el baño y guardarlo en su bandeja, lejos del NaOH y de inflamables.</w:t>
            </w:r>
          </w:p>
          <w:p>
            <w:pPr>
              <w:spacing w:before="0" w:after="30"/>
              <w:ind w:left="482" w:hanging="369"/>
            </w:pPr>
            <w:r>
              <w:rPr>
                <w:rFonts w:ascii="Calibri" w:hAnsi="Calibri"/>
                <w:b w:val="0"/>
                <w:i w:val="0"/>
                <w:sz w:val="19"/>
              </w:rPr>
              <w:t>27.</w:t>
              <w:tab/>
              <w:t>Botar enjuagues y baño usado en el bidón de residuos con cobre. No botar al desagüe.</w:t>
            </w:r>
          </w:p>
          <w:p>
            <w:pPr>
              <w:spacing w:before="0" w:after="30"/>
              <w:ind w:left="482" w:hanging="369"/>
            </w:pPr>
            <w:r>
              <w:rPr>
                <w:rFonts w:ascii="Calibri" w:hAnsi="Calibri"/>
                <w:b w:val="0"/>
                <w:i w:val="0"/>
                <w:sz w:val="19"/>
              </w:rPr>
              <w:t>28.</w:t>
              <w:tab/>
              <w:t>Lavarse las manos.</w:t>
            </w:r>
          </w:p>
        </w:tc>
      </w:tr>
    </w:tbl>
    <w:p w14:paraId="5221B027" w14:textId="77777777" w:rsidR="003A17A4" w:rsidRDefault="003A17A4" w:rsidP="006F0422">
      <w:pPr>
        <w:autoSpaceDE w:val="0"/>
        <w:autoSpaceDN w:val="0"/>
        <w:adjustRightInd w:val="0"/>
        <w:jc w:val="both"/>
        <w:rPr>
          <w:rFonts w:ascii="Calibri" w:hAnsi="Calibri" w:cs="Calibri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02"/>
        <w:gridCol w:w="6803"/>
      </w:tblGrid>
      <w:tr w:rsidR="003A17A4" w14:paraId="5BC01E94" w14:textId="77777777" w:rsidTr="003A17A4">
        <w:tc>
          <w:tcPr>
            <w:tcW w:w="3402" w:type="dxa"/>
            <w:shd w:val="clear" w:color="auto" w:fill="E7E6E6" w:themeFill="background2"/>
          </w:tcPr>
          <w:p w14:paraId="30713E5F" w14:textId="77777777" w:rsidR="003A17A4" w:rsidRPr="00A46F51" w:rsidRDefault="003A17A4" w:rsidP="00BA2F26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A46F51">
              <w:rPr>
                <w:rFonts w:ascii="Calibri" w:hAnsi="Calibri" w:cs="Calibri"/>
                <w:b/>
                <w:sz w:val="20"/>
                <w:szCs w:val="20"/>
              </w:rPr>
              <w:t>Factores de riesgo</w:t>
            </w:r>
          </w:p>
        </w:tc>
        <w:tc>
          <w:tcPr>
            <w:tcW w:w="6803" w:type="dxa"/>
          </w:tcPr>
          <w:p w14:paraId="03728760" w14:textId="77777777" w:rsidR="003A17A4" w:rsidRDefault="003A17A4" w:rsidP="00BA2F26">
            <w:pPr>
              <w:autoSpaceDE w:val="0"/>
              <w:autoSpaceDN w:val="0"/>
              <w:adjustRightInd w:val="0"/>
              <w:spacing w:before="0" w:after="30"/>
              <w:ind w:left="369" w:hanging="255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19"/>
              </w:rPr>
              <w:t>•</w:t>
              <w:tab/>
              <w:t>Ácido sulfúrico 98 %: corrosivo, quemaduras graves.</w:t>
            </w:r>
          </w:p>
          <w:p>
            <w:pPr>
              <w:spacing w:before="0" w:after="30"/>
              <w:ind w:left="369" w:hanging="255"/>
            </w:pPr>
            <w:r>
              <w:rPr>
                <w:rFonts w:ascii="Calibri" w:hAnsi="Calibri"/>
                <w:b w:val="0"/>
                <w:i w:val="0"/>
                <w:sz w:val="19"/>
              </w:rPr>
              <w:t>•</w:t>
              <w:tab/>
              <w:t>Dilución del ácido libera calor.</w:t>
            </w:r>
          </w:p>
          <w:p>
            <w:pPr>
              <w:spacing w:before="0" w:after="30"/>
              <w:ind w:left="369" w:hanging="255"/>
            </w:pPr>
            <w:r>
              <w:rPr>
                <w:rFonts w:ascii="Calibri" w:hAnsi="Calibri"/>
                <w:b w:val="0"/>
                <w:i w:val="0"/>
                <w:sz w:val="19"/>
              </w:rPr>
              <w:t>•</w:t>
              <w:tab/>
              <w:t>Sulfato de cobre: nocivo, tóxico para el medio ambiente.</w:t>
            </w:r>
          </w:p>
          <w:p>
            <w:pPr>
              <w:spacing w:before="0" w:after="30"/>
              <w:ind w:left="369" w:hanging="255"/>
            </w:pPr>
            <w:r>
              <w:rPr>
                <w:rFonts w:ascii="Calibri" w:hAnsi="Calibri"/>
                <w:b w:val="0"/>
                <w:i w:val="0"/>
                <w:sz w:val="19"/>
              </w:rPr>
              <w:t>•</w:t>
              <w:tab/>
              <w:t>Riesgo eléctrico: fuente DC con electrolito.</w:t>
            </w:r>
          </w:p>
        </w:tc>
      </w:tr>
      <w:tr w:rsidR="003A17A4" w14:paraId="76229ADA" w14:textId="77777777" w:rsidTr="003A17A4">
        <w:tc>
          <w:tcPr>
            <w:tcW w:w="3402" w:type="dxa"/>
            <w:shd w:val="clear" w:color="auto" w:fill="E7E6E6" w:themeFill="background2"/>
          </w:tcPr>
          <w:p w14:paraId="7461F026" w14:textId="77777777" w:rsidR="003A17A4" w:rsidRPr="00A46F51" w:rsidRDefault="003A17A4" w:rsidP="00BA2F26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A46F51">
              <w:rPr>
                <w:rFonts w:ascii="Calibri" w:hAnsi="Calibri" w:cs="Calibri"/>
                <w:b/>
                <w:sz w:val="20"/>
                <w:szCs w:val="20"/>
              </w:rPr>
              <w:t>Zona de trabajo</w:t>
            </w:r>
          </w:p>
        </w:tc>
        <w:tc>
          <w:tcPr>
            <w:tcW w:w="6803" w:type="dxa"/>
          </w:tcPr>
          <w:p w14:paraId="6C46E095" w14:textId="77777777" w:rsidR="003A17A4" w:rsidRDefault="003A17A4" w:rsidP="00BA2F26">
            <w:pPr>
              <w:autoSpaceDE w:val="0"/>
              <w:autoSpaceDN w:val="0"/>
              <w:adjustRightInd w:val="0"/>
              <w:spacing w:before="0" w:after="30"/>
              <w:ind w:left="369" w:hanging="255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19"/>
              </w:rPr>
              <w:t>•</w:t>
              <w:tab/>
              <w:t>Pasos 9 a 11: bajo campana de extracción.</w:t>
            </w:r>
          </w:p>
          <w:p>
            <w:pPr>
              <w:spacing w:before="0" w:after="30"/>
              <w:ind w:left="369" w:hanging="255"/>
            </w:pPr>
            <w:r>
              <w:rPr>
                <w:rFonts w:ascii="Calibri" w:hAnsi="Calibri"/>
                <w:b w:val="0"/>
                <w:i w:val="0"/>
                <w:sz w:val="19"/>
              </w:rPr>
              <w:t>•</w:t>
              <w:tab/>
              <w:t>Resto: mesón del baño, con bandeja de contención y ventilación.</w:t>
            </w:r>
          </w:p>
        </w:tc>
      </w:tr>
    </w:tbl>
    <w:p w14:paraId="7717F885" w14:textId="77777777" w:rsidR="003A17A4" w:rsidRDefault="003A17A4" w:rsidP="006F0422">
      <w:pPr>
        <w:autoSpaceDE w:val="0"/>
        <w:autoSpaceDN w:val="0"/>
        <w:adjustRightInd w:val="0"/>
        <w:jc w:val="both"/>
        <w:rPr>
          <w:rFonts w:ascii="Calibri" w:hAnsi="Calibri" w:cs="Calibri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2"/>
        <w:gridCol w:w="5102"/>
      </w:tblGrid>
      <w:tr w:rsidR="003A17A4" w14:paraId="23741103" w14:textId="77777777" w:rsidTr="003A17A4">
        <w:tc>
          <w:tcPr>
            <w:tcW w:w="5102" w:type="dxa"/>
            <w:shd w:val="clear" w:color="auto" w:fill="E7E6E6" w:themeFill="background2"/>
          </w:tcPr>
          <w:p w14:paraId="0D365DAF" w14:textId="77777777" w:rsidR="003A17A4" w:rsidRPr="00FC115D" w:rsidRDefault="003A17A4" w:rsidP="00BA2F2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FC115D">
              <w:rPr>
                <w:rFonts w:ascii="Calibri" w:hAnsi="Calibri" w:cs="Calibri"/>
                <w:b/>
                <w:sz w:val="20"/>
                <w:szCs w:val="20"/>
              </w:rPr>
              <w:t>Elementos de protección personal necesarios</w:t>
            </w:r>
          </w:p>
        </w:tc>
        <w:tc>
          <w:tcPr>
            <w:tcW w:w="5102" w:type="dxa"/>
            <w:shd w:val="clear" w:color="auto" w:fill="E7E6E6" w:themeFill="background2"/>
          </w:tcPr>
          <w:p w14:paraId="79B4AD94" w14:textId="77777777" w:rsidR="003A17A4" w:rsidRPr="00FC115D" w:rsidRDefault="003A17A4" w:rsidP="00BA2F2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FC115D">
              <w:rPr>
                <w:rFonts w:ascii="Calibri" w:hAnsi="Calibri" w:cs="Calibri"/>
                <w:b/>
                <w:sz w:val="20"/>
                <w:szCs w:val="20"/>
              </w:rPr>
              <w:t>Observaciones</w:t>
            </w:r>
          </w:p>
        </w:tc>
      </w:tr>
      <w:tr w:rsidR="003A17A4" w14:paraId="33838382" w14:textId="77777777" w:rsidTr="003A17A4">
        <w:tc>
          <w:tcPr>
            <w:tcW w:w="5102" w:type="dxa"/>
          </w:tcPr>
          <w:p w14:paraId="36BD5883" w14:textId="77777777" w:rsidR="003A17A4" w:rsidRDefault="003A17A4" w:rsidP="00BA2F26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19"/>
              </w:rPr>
              <w:t>Bata manga larga + delantal químico</w:t>
            </w:r>
          </w:p>
        </w:tc>
        <w:tc>
          <w:tcPr>
            <w:tcW w:w="5102" w:type="dxa"/>
          </w:tcPr>
          <w:p w14:paraId="18F96AD1" w14:textId="77777777" w:rsidR="003A17A4" w:rsidRDefault="003A17A4" w:rsidP="00BA2F26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19"/>
              </w:rPr>
              <w:t>Obligatorio</w:t>
            </w:r>
          </w:p>
        </w:tc>
      </w:tr>
      <w:tr w:rsidR="003A17A4" w14:paraId="5BEC0E11" w14:textId="77777777" w:rsidTr="003A17A4">
        <w:tc>
          <w:tcPr>
            <w:tcW w:w="5102" w:type="dxa"/>
          </w:tcPr>
          <w:p w14:paraId="5758D2D0" w14:textId="77777777" w:rsidR="003A17A4" w:rsidRDefault="003A17A4" w:rsidP="00BA2F26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19"/>
              </w:rPr>
              <w:t>Gafas herméticas</w:t>
            </w:r>
          </w:p>
        </w:tc>
        <w:tc>
          <w:tcPr>
            <w:tcW w:w="5102" w:type="dxa"/>
          </w:tcPr>
          <w:p w14:paraId="059C656F" w14:textId="77777777" w:rsidR="003A17A4" w:rsidRDefault="003A17A4" w:rsidP="00BA2F26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19"/>
              </w:rPr>
              <w:t>Obligatorio</w:t>
            </w:r>
          </w:p>
        </w:tc>
      </w:tr>
      <w:tr w:rsidR="003A17A4" w14:paraId="7DFAE945" w14:textId="77777777" w:rsidTr="003A17A4">
        <w:tc>
          <w:tcPr>
            <w:tcW w:w="5102" w:type="dxa"/>
          </w:tcPr>
          <w:p w14:paraId="09E48B9A" w14:textId="77777777" w:rsidR="003A17A4" w:rsidRDefault="003A17A4" w:rsidP="00BA2F26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19"/>
              </w:rPr>
              <w:t>Protector facial</w:t>
            </w:r>
          </w:p>
        </w:tc>
        <w:tc>
          <w:tcPr>
            <w:tcW w:w="5102" w:type="dxa"/>
          </w:tcPr>
          <w:p w14:paraId="1FCC5C3A" w14:textId="77777777" w:rsidR="003A17A4" w:rsidRDefault="003A17A4" w:rsidP="00BA2F26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19"/>
              </w:rPr>
              <w:t>Obligatorio al agregar el ácido</w:t>
            </w:r>
          </w:p>
        </w:tc>
      </w:tr>
      <w:tr w:rsidR="003A17A4" w14:paraId="7DFAE945" w14:textId="77777777" w:rsidTr="003A17A4">
        <w:tc>
          <w:tcPr>
            <w:tcW w:w="5102" w:type="dxa"/>
          </w:tcPr>
          <w:p w14:paraId="09E48B9A" w14:textId="77777777" w:rsidR="003A17A4" w:rsidRDefault="003A17A4" w:rsidP="00BA2F26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19"/>
              </w:rPr>
              <w:t>Guantes de butilo, neopreno o PVC</w:t>
            </w:r>
          </w:p>
        </w:tc>
        <w:tc>
          <w:tcPr>
            <w:tcW w:w="5102" w:type="dxa"/>
          </w:tcPr>
          <w:p w14:paraId="1FCC5C3A" w14:textId="77777777" w:rsidR="003A17A4" w:rsidRDefault="003A17A4" w:rsidP="00BA2F26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19"/>
              </w:rPr>
              <w:t>Obligatorio al manipular el ácido concentrado</w:t>
            </w:r>
          </w:p>
        </w:tc>
      </w:tr>
      <w:tr w:rsidR="003A17A4" w14:paraId="7DFAE945" w14:textId="77777777" w:rsidTr="003A17A4">
        <w:tc>
          <w:tcPr>
            <w:tcW w:w="5102" w:type="dxa"/>
          </w:tcPr>
          <w:p w14:paraId="09E48B9A" w14:textId="77777777" w:rsidR="003A17A4" w:rsidRDefault="003A17A4" w:rsidP="00BA2F26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19"/>
              </w:rPr>
              <w:t>Guantes de nitrilo grueso</w:t>
            </w:r>
          </w:p>
        </w:tc>
        <w:tc>
          <w:tcPr>
            <w:tcW w:w="5102" w:type="dxa"/>
          </w:tcPr>
          <w:p w14:paraId="1FCC5C3A" w14:textId="77777777" w:rsidR="003A17A4" w:rsidRDefault="003A17A4" w:rsidP="00BA2F26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19"/>
              </w:rPr>
              <w:t>Obligatorio con el baño preparado</w:t>
            </w:r>
          </w:p>
        </w:tc>
      </w:tr>
      <w:tr w:rsidR="003A17A4" w14:paraId="7DFAE945" w14:textId="77777777" w:rsidTr="003A17A4">
        <w:tc>
          <w:tcPr>
            <w:tcW w:w="5102" w:type="dxa"/>
          </w:tcPr>
          <w:p w14:paraId="09E48B9A" w14:textId="77777777" w:rsidR="003A17A4" w:rsidRDefault="003A17A4" w:rsidP="00BA2F26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19"/>
              </w:rPr>
              <w:t>Calzado cerrado</w:t>
            </w:r>
          </w:p>
        </w:tc>
        <w:tc>
          <w:tcPr>
            <w:tcW w:w="5102" w:type="dxa"/>
          </w:tcPr>
          <w:p w14:paraId="1FCC5C3A" w14:textId="77777777" w:rsidR="003A17A4" w:rsidRDefault="003A17A4" w:rsidP="00BA2F26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19"/>
              </w:rPr>
              <w:t>Obligatorio</w:t>
            </w:r>
          </w:p>
        </w:tc>
      </w:tr>
    </w:tbl>
    <w:p w14:paraId="752021BB" w14:textId="77777777" w:rsidR="003A17A4" w:rsidRDefault="003A17A4" w:rsidP="006F0422">
      <w:pPr>
        <w:autoSpaceDE w:val="0"/>
        <w:autoSpaceDN w:val="0"/>
        <w:adjustRightInd w:val="0"/>
        <w:jc w:val="both"/>
        <w:rPr>
          <w:rFonts w:ascii="Calibri" w:hAnsi="Calibri" w:cs="Calibri"/>
          <w:sz w:val="20"/>
          <w:szCs w:val="20"/>
        </w:rPr>
      </w:pPr>
    </w:p>
    <w:p w14:paraId="412F50CD" w14:textId="77777777" w:rsidR="009B2DB7" w:rsidRPr="00DB538A" w:rsidRDefault="009B2DB7" w:rsidP="006F0422">
      <w:pPr>
        <w:autoSpaceDE w:val="0"/>
        <w:autoSpaceDN w:val="0"/>
        <w:adjustRightInd w:val="0"/>
        <w:jc w:val="both"/>
        <w:rPr>
          <w:rFonts w:ascii="Calibri" w:hAnsi="Calibri" w:cs="Calibri"/>
          <w:sz w:val="20"/>
          <w:szCs w:val="20"/>
        </w:rPr>
      </w:pPr>
    </w:p>
    <w:p w14:paraId="65932AA4" w14:textId="5EF9E632" w:rsidR="00F92D6B" w:rsidRPr="009767C2" w:rsidRDefault="00FC115D" w:rsidP="00F92D6B">
      <w:pPr>
        <w:rPr>
          <w:rFonts w:ascii="Calibri" w:hAnsi="Calibri" w:cs="Calibri"/>
          <w:b/>
          <w:color w:val="000000" w:themeColor="text1"/>
        </w:rPr>
      </w:pPr>
      <w:r w:rsidRPr="009767C2">
        <w:rPr>
          <w:rFonts w:ascii="Calibri" w:hAnsi="Calibri" w:cs="Calibri"/>
          <w:b/>
          <w:color w:val="000000" w:themeColor="text1"/>
          <w:sz w:val="20"/>
          <w:szCs w:val="20"/>
        </w:rPr>
        <w:t>Responsables:</w:t>
      </w:r>
    </w:p>
    <w:p w14:paraId="59D7C093" w14:textId="77777777" w:rsidR="001C7666" w:rsidRPr="00DB538A" w:rsidRDefault="001C7666" w:rsidP="00F92D6B">
      <w:pPr>
        <w:rPr>
          <w:rFonts w:ascii="Calibri" w:hAnsi="Calibri" w:cs="Calibr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FC115D" w:rsidRPr="00FC115D" w14:paraId="1A59555E" w14:textId="77777777" w:rsidTr="00FC115D">
        <w:tc>
          <w:tcPr>
            <w:tcW w:w="4814" w:type="dxa"/>
          </w:tcPr>
          <w:p w14:paraId="3655A539" w14:textId="585287F1" w:rsidR="00FC115D" w:rsidRPr="00FC115D" w:rsidRDefault="00FC115D" w:rsidP="00172A0F">
            <w:pPr>
              <w:spacing w:after="20" w:before="0"/>
              <w:jc w:val="left"/>
              <w:rPr>
                <w:rFonts w:ascii="Calibri" w:hAnsi="Calibri" w:cs="Calibri"/>
                <w:bCs/>
                <w:i/>
                <w:sz w:val="20"/>
                <w:szCs w:val="20"/>
              </w:rPr>
            </w:pPr>
            <w:r>
              <w:rPr>
                <w:rFonts w:ascii="Calibri" w:hAnsi="Calibri"/>
                <w:b w:val="0"/>
                <w:i/>
                <w:sz w:val="20"/>
              </w:rPr>
              <w:t>Elaborado por: Nicolás Seguel Ardiles</w:t>
            </w:r>
          </w:p>
        </w:tc>
        <w:tc>
          <w:tcPr>
            <w:tcW w:w="4814" w:type="dxa"/>
          </w:tcPr>
          <w:p w14:paraId="5CDE4CB2" w14:textId="77777777" w:rsidR="00FC115D" w:rsidRDefault="00FC115D" w:rsidP="00172A0F">
            <w:pPr>
              <w:spacing w:after="20" w:before="0"/>
              <w:jc w:val="left"/>
              <w:rPr>
                <w:rFonts w:ascii="Calibri" w:hAnsi="Calibri" w:cs="Calibri"/>
                <w:bCs/>
                <w:i/>
                <w:sz w:val="20"/>
                <w:szCs w:val="20"/>
              </w:rPr>
            </w:pPr>
            <w:r>
              <w:rPr>
                <w:rFonts w:ascii="Calibri" w:hAnsi="Calibri"/>
                <w:b w:val="0"/>
                <w:i/>
                <w:sz w:val="20"/>
              </w:rPr>
              <w:t>Revisado por:</w:t>
            </w:r>
          </w:p>
        </w:tc>
      </w:tr>
      <w:tr w:rsidR="00FC115D" w:rsidRPr="00FC115D" w14:paraId="2EB25C58" w14:textId="77777777" w:rsidTr="00FC115D">
        <w:tc>
          <w:tcPr>
            <w:tcW w:w="4814" w:type="dxa"/>
          </w:tcPr>
          <w:p w14:paraId="702CAD78" w14:textId="71360EFA" w:rsidR="00FC115D" w:rsidRPr="00FC115D" w:rsidRDefault="00FC115D" w:rsidP="00172A0F">
            <w:pPr>
              <w:spacing w:after="20" w:before="0"/>
              <w:jc w:val="left"/>
              <w:rPr>
                <w:rFonts w:ascii="Calibri" w:hAnsi="Calibri" w:cs="Calibri"/>
                <w:bCs/>
                <w:i/>
                <w:sz w:val="20"/>
                <w:szCs w:val="20"/>
              </w:rPr>
            </w:pPr>
            <w:r>
              <w:rPr>
                <w:rFonts w:ascii="Calibri" w:hAnsi="Calibri"/>
                <w:b w:val="0"/>
                <w:i/>
                <w:sz w:val="20"/>
              </w:rPr>
              <w:t>Fecha: 30/09/2026</w:t>
            </w:r>
          </w:p>
        </w:tc>
        <w:tc>
          <w:tcPr>
            <w:tcW w:w="4814" w:type="dxa"/>
          </w:tcPr>
          <w:p w14:paraId="7D07C8E1" w14:textId="63CA2445" w:rsidR="00FC115D" w:rsidRPr="00FC115D" w:rsidRDefault="00FC115D" w:rsidP="00172A0F">
            <w:pPr>
              <w:rPr>
                <w:rFonts w:ascii="Calibri" w:hAnsi="Calibri" w:cs="Calibri"/>
                <w:bCs/>
                <w:i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i/>
                <w:sz w:val="20"/>
                <w:szCs w:val="20"/>
              </w:rPr>
              <w:t>Fecha:</w:t>
            </w:r>
          </w:p>
        </w:tc>
      </w:tr>
      <w:tr w:rsidR="00FC115D" w:rsidRPr="00FC115D" w14:paraId="4A37C377" w14:textId="77777777" w:rsidTr="00FC115D">
        <w:tc>
          <w:tcPr>
            <w:tcW w:w="4814" w:type="dxa"/>
          </w:tcPr>
          <w:p w14:paraId="57313C81" w14:textId="77777777" w:rsidR="00FC115D" w:rsidRDefault="00FC115D" w:rsidP="00172A0F">
            <w:pPr>
              <w:rPr>
                <w:rFonts w:ascii="Calibri" w:hAnsi="Calibri" w:cs="Calibri"/>
                <w:bCs/>
                <w:i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i/>
                <w:sz w:val="20"/>
                <w:szCs w:val="20"/>
              </w:rPr>
              <w:t>Firma</w:t>
            </w:r>
          </w:p>
          <w:p w14:paraId="16EAF3A9" w14:textId="77777777" w:rsidR="00FC115D" w:rsidRDefault="00FC115D" w:rsidP="00172A0F">
            <w:pPr>
              <w:rPr>
                <w:rFonts w:ascii="Calibri" w:hAnsi="Calibri" w:cs="Calibri"/>
                <w:bCs/>
                <w:i/>
                <w:sz w:val="20"/>
                <w:szCs w:val="20"/>
              </w:rPr>
            </w:pPr>
          </w:p>
          <w:p w14:paraId="0B8D7882" w14:textId="41E97246" w:rsidR="00FC115D" w:rsidRPr="00FC115D" w:rsidRDefault="00FC115D" w:rsidP="00172A0F">
            <w:pPr>
              <w:rPr>
                <w:rFonts w:ascii="Calibri" w:hAnsi="Calibri" w:cs="Calibri"/>
                <w:bCs/>
                <w:i/>
                <w:sz w:val="20"/>
                <w:szCs w:val="20"/>
              </w:rPr>
            </w:pPr>
          </w:p>
        </w:tc>
        <w:tc>
          <w:tcPr>
            <w:tcW w:w="4814" w:type="dxa"/>
          </w:tcPr>
          <w:p w14:paraId="4D54D337" w14:textId="5CFCA81C" w:rsidR="00FC115D" w:rsidRPr="00FC115D" w:rsidRDefault="00FC115D" w:rsidP="00172A0F">
            <w:pPr>
              <w:rPr>
                <w:rFonts w:ascii="Calibri" w:hAnsi="Calibri" w:cs="Calibri"/>
                <w:bCs/>
                <w:i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i/>
                <w:sz w:val="20"/>
                <w:szCs w:val="20"/>
              </w:rPr>
              <w:t>Firma</w:t>
            </w:r>
          </w:p>
        </w:tc>
      </w:tr>
    </w:tbl>
    <w:p w14:paraId="7E9F05A0" w14:textId="77777777" w:rsidR="00172A0F" w:rsidRPr="00E00575" w:rsidRDefault="00172A0F" w:rsidP="00172A0F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0"/>
          <w:szCs w:val="20"/>
        </w:rPr>
      </w:pPr>
    </w:p>
    <w:sectPr w:rsidR="00172A0F" w:rsidRPr="00E00575" w:rsidSect="003A17A4">
      <w:headerReference w:type="default" r:id="rId8"/>
      <w:pgSz w:w="12240" w:h="15840"/>
      <w:pgMar w:top="1548" w:right="720" w:bottom="720" w:left="720" w:header="42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9F0665" w14:textId="77777777" w:rsidR="009E7288" w:rsidRDefault="009E7288">
      <w:r>
        <w:separator/>
      </w:r>
    </w:p>
  </w:endnote>
  <w:endnote w:type="continuationSeparator" w:id="0">
    <w:p w14:paraId="6D6764C3" w14:textId="77777777" w:rsidR="009E7288" w:rsidRDefault="009E72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FA261E" w14:textId="77777777" w:rsidR="009E7288" w:rsidRDefault="009E7288">
      <w:r>
        <w:separator/>
      </w:r>
    </w:p>
  </w:footnote>
  <w:footnote w:type="continuationSeparator" w:id="0">
    <w:p w14:paraId="46BAAEDB" w14:textId="77777777" w:rsidR="009E7288" w:rsidRDefault="009E72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86658E" w14:textId="1476B338" w:rsidR="00CD0188" w:rsidRDefault="00CD0188" w:rsidP="00CD0188"/>
  <w:p w14:paraId="73742571" w14:textId="408B5ECF" w:rsidR="00CD0188" w:rsidRPr="00CD0188" w:rsidRDefault="00CD0188" w:rsidP="00CD0188"/>
  <w:tbl>
    <w:tblPr>
      <w:tblStyle w:val="Tablaconcuadrcula"/>
      <w:tblpPr w:leftFromText="141" w:rightFromText="141" w:horzAnchor="margin" w:tblpXSpec="center" w:tblpY="-600"/>
      <w:tblW w:w="10145" w:type="dxa"/>
      <w:tblBorders>
        <w:top w:val="double" w:sz="4" w:space="0" w:color="808080" w:themeColor="background1" w:themeShade="80"/>
        <w:left w:val="double" w:sz="4" w:space="0" w:color="808080" w:themeColor="background1" w:themeShade="80"/>
        <w:bottom w:val="double" w:sz="4" w:space="0" w:color="808080" w:themeColor="background1" w:themeShade="80"/>
        <w:right w:val="double" w:sz="4" w:space="0" w:color="808080" w:themeColor="background1" w:themeShade="80"/>
        <w:insideH w:val="double" w:sz="4" w:space="0" w:color="808080" w:themeColor="background1" w:themeShade="80"/>
        <w:insideV w:val="double" w:sz="4" w:space="0" w:color="808080" w:themeColor="background1" w:themeShade="80"/>
      </w:tblBorders>
      <w:tblLook w:val="04A0" w:firstRow="1" w:lastRow="0" w:firstColumn="1" w:lastColumn="0" w:noHBand="0" w:noVBand="1"/>
    </w:tblPr>
    <w:tblGrid>
      <w:gridCol w:w="3552"/>
      <w:gridCol w:w="4513"/>
      <w:gridCol w:w="2080"/>
    </w:tblGrid>
    <w:tr w:rsidR="003A17A4" w:rsidRPr="00693EC4" w14:paraId="675D7CA4" w14:textId="77777777" w:rsidTr="00BA2F26">
      <w:trPr>
        <w:trHeight w:val="762"/>
      </w:trPr>
      <w:tc>
        <w:tcPr>
          <w:tcW w:w="3552" w:type="dxa"/>
        </w:tcPr>
        <w:p w14:paraId="68AA2104" w14:textId="77777777" w:rsidR="003A17A4" w:rsidRPr="00693EC4" w:rsidRDefault="003A17A4" w:rsidP="003A17A4">
          <w:pPr>
            <w:spacing w:after="60" w:line="276" w:lineRule="auto"/>
            <w:ind w:right="418"/>
            <w:jc w:val="center"/>
            <w:rPr>
              <w:rFonts w:ascii="Calibri" w:eastAsia="Yu Gothic UI" w:hAnsi="Calibri" w:cs="Arial"/>
              <w:b/>
              <w:color w:val="2F5496" w:themeColor="accent1" w:themeShade="BF"/>
              <w:sz w:val="28"/>
            </w:rPr>
          </w:pPr>
          <w:r w:rsidRPr="00693EC4">
            <w:rPr>
              <w:noProof/>
              <w:lang w:val="es-ES_tradnl" w:eastAsia="es-ES_tradnl"/>
            </w:rPr>
            <w:drawing>
              <wp:anchor distT="0" distB="0" distL="114300" distR="114300" simplePos="0" relativeHeight="251660288" behindDoc="0" locked="0" layoutInCell="1" allowOverlap="1" wp14:anchorId="08839931" wp14:editId="3B9898B6">
                <wp:simplePos x="0" y="0"/>
                <wp:positionH relativeFrom="column">
                  <wp:posOffset>958215</wp:posOffset>
                </wp:positionH>
                <wp:positionV relativeFrom="page">
                  <wp:posOffset>128891</wp:posOffset>
                </wp:positionV>
                <wp:extent cx="1188720" cy="416560"/>
                <wp:effectExtent l="0" t="0" r="5080" b="2540"/>
                <wp:wrapSquare wrapText="bothSides"/>
                <wp:docPr id="3" name="Imagen 3" descr="Banner 800x20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Banner 800x200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314" r="1834"/>
                        <a:stretch/>
                      </pic:blipFill>
                      <pic:spPr bwMode="auto">
                        <a:xfrm>
                          <a:off x="0" y="0"/>
                          <a:ext cx="1188720" cy="416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693EC4">
            <w:rPr>
              <w:noProof/>
              <w:lang w:val="es-ES_tradnl" w:eastAsia="es-ES_tradnl"/>
            </w:rPr>
            <w:drawing>
              <wp:anchor distT="0" distB="0" distL="114300" distR="114300" simplePos="0" relativeHeight="251659264" behindDoc="1" locked="0" layoutInCell="1" allowOverlap="1" wp14:anchorId="68274286" wp14:editId="453008AA">
                <wp:simplePos x="0" y="0"/>
                <wp:positionH relativeFrom="column">
                  <wp:posOffset>-21591</wp:posOffset>
                </wp:positionH>
                <wp:positionV relativeFrom="page">
                  <wp:posOffset>32580</wp:posOffset>
                </wp:positionV>
                <wp:extent cx="981075" cy="553525"/>
                <wp:effectExtent l="0" t="0" r="0" b="0"/>
                <wp:wrapNone/>
                <wp:docPr id="4" name="Imagen 4" descr="UC lineal-02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6" descr="UC lineal-02.jp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25" t="4688" b="6185"/>
                        <a:stretch/>
                      </pic:blipFill>
                      <pic:spPr bwMode="auto">
                        <a:xfrm>
                          <a:off x="0" y="0"/>
                          <a:ext cx="983418" cy="5548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13" w:type="dxa"/>
          <w:vAlign w:val="center"/>
        </w:tcPr>
        <w:p w14:paraId="61C195AE" w14:textId="65C89A81" w:rsidR="003A17A4" w:rsidRPr="00556385" w:rsidRDefault="003A17A4" w:rsidP="003A17A4">
          <w:pPr>
            <w:spacing w:after="60" w:line="276" w:lineRule="auto"/>
            <w:ind w:right="418"/>
            <w:jc w:val="center"/>
            <w:rPr>
              <w:rFonts w:ascii="Calibri" w:eastAsia="Yu Gothic UI" w:hAnsi="Calibri" w:cs="Arial"/>
              <w:b/>
              <w:color w:val="2F5496" w:themeColor="accent1" w:themeShade="BF"/>
              <w:sz w:val="28"/>
              <w:szCs w:val="28"/>
            </w:rPr>
          </w:pPr>
          <w:r>
            <w:rPr>
              <w:rFonts w:ascii="Calibri" w:eastAsia="Yu Gothic UI" w:hAnsi="Calibri" w:cs="Arial"/>
              <w:b/>
              <w:color w:val="2F5496" w:themeColor="accent1" w:themeShade="BF"/>
              <w:sz w:val="28"/>
              <w:szCs w:val="28"/>
            </w:rPr>
            <w:t>PROCEDIMIENTO DE TRABAJO SEGURO</w:t>
          </w:r>
        </w:p>
      </w:tc>
      <w:tc>
        <w:tcPr>
          <w:tcW w:w="2080" w:type="dxa"/>
          <w:vAlign w:val="center"/>
        </w:tcPr>
        <w:p w14:paraId="5A981E62" w14:textId="77777777" w:rsidR="003A17A4" w:rsidRPr="00693EC4" w:rsidRDefault="003A17A4" w:rsidP="003A17A4">
          <w:pPr>
            <w:rPr>
              <w:rFonts w:ascii="Calibri" w:eastAsia="Yu Gothic UI" w:hAnsi="Calibri" w:cs="Arial"/>
              <w:color w:val="8496B0"/>
              <w:sz w:val="16"/>
              <w:szCs w:val="16"/>
            </w:rPr>
          </w:pPr>
          <w:r w:rsidRPr="00693EC4">
            <w:rPr>
              <w:rFonts w:ascii="Calibri" w:eastAsia="Yu Gothic UI" w:hAnsi="Calibri" w:cs="Arial"/>
              <w:color w:val="8496B0"/>
              <w:sz w:val="16"/>
              <w:szCs w:val="16"/>
            </w:rPr>
            <w:t xml:space="preserve">Versión: </w:t>
          </w:r>
          <w:r>
            <w:rPr>
              <w:rFonts w:ascii="Calibri" w:eastAsia="Yu Gothic UI" w:hAnsi="Calibri" w:cs="Arial"/>
              <w:color w:val="8496B0"/>
              <w:sz w:val="16"/>
              <w:szCs w:val="16"/>
            </w:rPr>
            <w:t>1</w:t>
          </w:r>
        </w:p>
        <w:p w14:paraId="18D27E34" w14:textId="77777777" w:rsidR="003A17A4" w:rsidRPr="00693EC4" w:rsidRDefault="003A17A4" w:rsidP="003A17A4">
          <w:pPr>
            <w:rPr>
              <w:rFonts w:ascii="Calibri" w:eastAsia="Yu Gothic UI" w:hAnsi="Calibri" w:cs="Arial"/>
              <w:color w:val="8496B0"/>
              <w:sz w:val="16"/>
              <w:szCs w:val="16"/>
            </w:rPr>
          </w:pPr>
          <w:r w:rsidRPr="00693EC4">
            <w:rPr>
              <w:rFonts w:ascii="Calibri" w:eastAsia="Yu Gothic UI" w:hAnsi="Calibri" w:cs="Arial"/>
              <w:color w:val="8496B0"/>
              <w:sz w:val="16"/>
              <w:szCs w:val="16"/>
            </w:rPr>
            <w:t xml:space="preserve">Fecha: </w:t>
          </w:r>
          <w:r>
            <w:rPr>
              <w:rFonts w:ascii="Calibri" w:eastAsia="Yu Gothic UI" w:hAnsi="Calibri" w:cs="Arial"/>
              <w:color w:val="8496B0"/>
              <w:sz w:val="16"/>
              <w:szCs w:val="16"/>
            </w:rPr>
            <w:t>30/09/2026</w:t>
          </w:r>
        </w:p>
        <w:p w14:paraId="5E405A3E" w14:textId="77777777" w:rsidR="003A17A4" w:rsidRDefault="003A17A4" w:rsidP="003A17A4">
          <w:pPr>
            <w:rPr>
              <w:rFonts w:ascii="Calibri" w:eastAsia="Yu Gothic UI" w:hAnsi="Calibri" w:cs="Arial"/>
              <w:color w:val="8496B0"/>
              <w:sz w:val="16"/>
              <w:szCs w:val="16"/>
            </w:rPr>
          </w:pPr>
          <w:r w:rsidRPr="00693EC4">
            <w:rPr>
              <w:rFonts w:ascii="Calibri" w:eastAsia="Yu Gothic UI" w:hAnsi="Calibri" w:cs="Arial"/>
              <w:color w:val="8496B0"/>
              <w:sz w:val="16"/>
              <w:szCs w:val="16"/>
            </w:rPr>
            <w:t>Elaborado: Nicolás Seguel A.</w:t>
          </w:r>
        </w:p>
        <w:p w14:paraId="65D2F60E" w14:textId="77777777" w:rsidR="003A17A4" w:rsidRDefault="003A17A4" w:rsidP="003A17A4">
          <w:pPr>
            <w:rPr>
              <w:rFonts w:ascii="Calibri" w:eastAsia="Yu Gothic UI" w:hAnsi="Calibri" w:cs="Arial"/>
              <w:color w:val="8496B0"/>
              <w:sz w:val="16"/>
              <w:szCs w:val="16"/>
            </w:rPr>
          </w:pPr>
          <w:r>
            <w:rPr>
              <w:rFonts w:ascii="Calibri" w:eastAsia="Yu Gothic UI" w:hAnsi="Calibri" w:cs="Arial"/>
              <w:color w:val="8496B0"/>
              <w:sz w:val="16"/>
              <w:szCs w:val="16"/>
            </w:rPr>
            <w:t xml:space="preserve">Revisado: </w:t>
          </w:r>
        </w:p>
        <w:p w14:paraId="693668C0" w14:textId="77777777" w:rsidR="003A17A4" w:rsidRPr="00693EC4" w:rsidRDefault="003A17A4" w:rsidP="003A17A4">
          <w:pPr>
            <w:rPr>
              <w:rFonts w:ascii="Calibri" w:eastAsia="Yu Gothic UI" w:hAnsi="Calibri" w:cs="Arial"/>
              <w:color w:val="8496B0"/>
              <w:sz w:val="16"/>
              <w:szCs w:val="16"/>
            </w:rPr>
          </w:pP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t xml:space="preserve">Página </w:t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fldChar w:fldCharType="begin"/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instrText xml:space="preserve"> PAGE </w:instrText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fldChar w:fldCharType="separate"/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t>1</w:t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fldChar w:fldCharType="end"/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t xml:space="preserve"> de </w:t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fldChar w:fldCharType="begin"/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instrText xml:space="preserve"> NUMPAGES </w:instrText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fldChar w:fldCharType="separate"/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t>1</w:t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fldChar w:fldCharType="end"/>
          </w:r>
        </w:p>
      </w:tc>
    </w:tr>
  </w:tbl>
  <w:p w14:paraId="28C27697" w14:textId="7C0F9F0D" w:rsidR="001C7666" w:rsidRPr="001C7666" w:rsidRDefault="001C7666" w:rsidP="003A17A4">
    <w:pPr>
      <w:spacing w:after="60" w:line="276" w:lineRule="auto"/>
      <w:ind w:right="418"/>
      <w:rPr>
        <w:rFonts w:ascii="Calibri" w:eastAsia="Yu Gothic UI" w:hAnsi="Calibri" w:cs="Arial"/>
        <w:b/>
        <w:color w:val="8496B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837D6"/>
    <w:multiLevelType w:val="hybridMultilevel"/>
    <w:tmpl w:val="6C160D72"/>
    <w:lvl w:ilvl="0" w:tplc="A62EC59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250202FA">
      <w:start w:val="2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Times New Roman" w:hAnsi="Symbol" w:cs="Times New Roman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64C81"/>
    <w:multiLevelType w:val="multilevel"/>
    <w:tmpl w:val="24DC54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A9B266C"/>
    <w:multiLevelType w:val="hybridMultilevel"/>
    <w:tmpl w:val="C65C4F48"/>
    <w:lvl w:ilvl="0" w:tplc="CB54FF1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E213A7"/>
    <w:multiLevelType w:val="multilevel"/>
    <w:tmpl w:val="1E76F2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33C83ED9"/>
    <w:multiLevelType w:val="hybridMultilevel"/>
    <w:tmpl w:val="39AE3B0E"/>
    <w:lvl w:ilvl="0" w:tplc="A776D4B2">
      <w:start w:val="5"/>
      <w:numFmt w:val="lowerLetter"/>
      <w:lvlText w:val="%1)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5" w15:restartNumberingAfterBreak="0">
    <w:nsid w:val="48FC3B68"/>
    <w:multiLevelType w:val="multilevel"/>
    <w:tmpl w:val="1E76F2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4A02660B"/>
    <w:multiLevelType w:val="multilevel"/>
    <w:tmpl w:val="1E32CE5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6BA437C8"/>
    <w:multiLevelType w:val="hybridMultilevel"/>
    <w:tmpl w:val="9CA054B6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7003866">
      <w:start w:val="1"/>
      <w:numFmt w:val="low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  <w:color w:val="auto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7F616DDF"/>
    <w:multiLevelType w:val="singleLevel"/>
    <w:tmpl w:val="0C0A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 w16cid:durableId="1434519801">
    <w:abstractNumId w:val="8"/>
  </w:num>
  <w:num w:numId="2" w16cid:durableId="1419405445">
    <w:abstractNumId w:val="7"/>
  </w:num>
  <w:num w:numId="3" w16cid:durableId="473445384">
    <w:abstractNumId w:val="4"/>
  </w:num>
  <w:num w:numId="4" w16cid:durableId="1028800096">
    <w:abstractNumId w:val="0"/>
  </w:num>
  <w:num w:numId="5" w16cid:durableId="1466004534">
    <w:abstractNumId w:val="3"/>
  </w:num>
  <w:num w:numId="6" w16cid:durableId="574314422">
    <w:abstractNumId w:val="6"/>
  </w:num>
  <w:num w:numId="7" w16cid:durableId="1705056673">
    <w:abstractNumId w:val="1"/>
  </w:num>
  <w:num w:numId="8" w16cid:durableId="266039772">
    <w:abstractNumId w:val="2"/>
  </w:num>
  <w:num w:numId="9" w16cid:durableId="7762912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E9B"/>
    <w:rsid w:val="00021547"/>
    <w:rsid w:val="00072A5A"/>
    <w:rsid w:val="000A3505"/>
    <w:rsid w:val="000B72D8"/>
    <w:rsid w:val="00172A0F"/>
    <w:rsid w:val="00185051"/>
    <w:rsid w:val="001C5A5B"/>
    <w:rsid w:val="001C7666"/>
    <w:rsid w:val="001E2753"/>
    <w:rsid w:val="001F03C9"/>
    <w:rsid w:val="0021104A"/>
    <w:rsid w:val="00272078"/>
    <w:rsid w:val="002903E2"/>
    <w:rsid w:val="002D7E6D"/>
    <w:rsid w:val="002E7726"/>
    <w:rsid w:val="00330A46"/>
    <w:rsid w:val="00332464"/>
    <w:rsid w:val="00342272"/>
    <w:rsid w:val="003A17A4"/>
    <w:rsid w:val="003B5FBE"/>
    <w:rsid w:val="003B70F4"/>
    <w:rsid w:val="003D670D"/>
    <w:rsid w:val="003D6CE9"/>
    <w:rsid w:val="00403765"/>
    <w:rsid w:val="004556DF"/>
    <w:rsid w:val="00487546"/>
    <w:rsid w:val="004B2C76"/>
    <w:rsid w:val="004B3787"/>
    <w:rsid w:val="004D0F88"/>
    <w:rsid w:val="004D447C"/>
    <w:rsid w:val="004F0B2C"/>
    <w:rsid w:val="00592403"/>
    <w:rsid w:val="006250CD"/>
    <w:rsid w:val="00625E9B"/>
    <w:rsid w:val="00655447"/>
    <w:rsid w:val="00694D38"/>
    <w:rsid w:val="006F0422"/>
    <w:rsid w:val="006F5274"/>
    <w:rsid w:val="00742C97"/>
    <w:rsid w:val="007E27D8"/>
    <w:rsid w:val="00804309"/>
    <w:rsid w:val="00862863"/>
    <w:rsid w:val="008764E3"/>
    <w:rsid w:val="00975833"/>
    <w:rsid w:val="009767C2"/>
    <w:rsid w:val="0099206F"/>
    <w:rsid w:val="009B2DB7"/>
    <w:rsid w:val="009C0822"/>
    <w:rsid w:val="009E7288"/>
    <w:rsid w:val="009F65E7"/>
    <w:rsid w:val="00A46F51"/>
    <w:rsid w:val="00A55BF5"/>
    <w:rsid w:val="00A8403A"/>
    <w:rsid w:val="00B241FD"/>
    <w:rsid w:val="00BD4147"/>
    <w:rsid w:val="00C45FF3"/>
    <w:rsid w:val="00C925F6"/>
    <w:rsid w:val="00C943CC"/>
    <w:rsid w:val="00CD0188"/>
    <w:rsid w:val="00CD7FA6"/>
    <w:rsid w:val="00D053C8"/>
    <w:rsid w:val="00D42642"/>
    <w:rsid w:val="00DB538A"/>
    <w:rsid w:val="00E00575"/>
    <w:rsid w:val="00E1444B"/>
    <w:rsid w:val="00E42060"/>
    <w:rsid w:val="00E44E53"/>
    <w:rsid w:val="00E50C3A"/>
    <w:rsid w:val="00EB7981"/>
    <w:rsid w:val="00EE3FBC"/>
    <w:rsid w:val="00F174FF"/>
    <w:rsid w:val="00F51BEE"/>
    <w:rsid w:val="00F9075A"/>
    <w:rsid w:val="00F92D6B"/>
    <w:rsid w:val="00FC1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060C8D0"/>
  <w15:chartTrackingRefBased/>
  <w15:docId w15:val="{E93FD549-C8A6-4673-908F-62397DE47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6F0422"/>
    <w:rPr>
      <w:sz w:val="24"/>
      <w:szCs w:val="24"/>
      <w:lang w:eastAsia="es-ES"/>
    </w:rPr>
  </w:style>
  <w:style w:type="paragraph" w:styleId="Ttulo3">
    <w:name w:val="heading 3"/>
    <w:basedOn w:val="Normal"/>
    <w:next w:val="Normal"/>
    <w:qFormat/>
    <w:rsid w:val="006F0422"/>
    <w:pPr>
      <w:keepNext/>
      <w:spacing w:line="360" w:lineRule="atLeast"/>
      <w:ind w:left="708" w:hanging="708"/>
      <w:jc w:val="both"/>
      <w:outlineLvl w:val="2"/>
    </w:pPr>
    <w:rPr>
      <w:szCs w:val="20"/>
      <w:lang w:val="es-ES"/>
    </w:rPr>
  </w:style>
  <w:style w:type="paragraph" w:styleId="Ttulo4">
    <w:name w:val="heading 4"/>
    <w:basedOn w:val="Normal"/>
    <w:next w:val="Normal"/>
    <w:qFormat/>
    <w:rsid w:val="006F0422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6F04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rsid w:val="006F0422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6F0422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A55BF5"/>
    <w:rPr>
      <w:rFonts w:ascii="Tahoma" w:hAnsi="Tahoma" w:cs="Tahoma"/>
      <w:sz w:val="16"/>
      <w:szCs w:val="16"/>
    </w:rPr>
  </w:style>
  <w:style w:type="character" w:styleId="Refdecomentario">
    <w:name w:val="annotation reference"/>
    <w:semiHidden/>
    <w:rsid w:val="00403765"/>
    <w:rPr>
      <w:sz w:val="16"/>
      <w:szCs w:val="16"/>
    </w:rPr>
  </w:style>
  <w:style w:type="paragraph" w:styleId="Textocomentario">
    <w:name w:val="annotation text"/>
    <w:basedOn w:val="Normal"/>
    <w:semiHidden/>
    <w:rsid w:val="0040376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403765"/>
    <w:rPr>
      <w:b/>
      <w:bCs/>
    </w:rPr>
  </w:style>
  <w:style w:type="character" w:styleId="Hipervnculo">
    <w:name w:val="Hyperlink"/>
    <w:uiPriority w:val="99"/>
    <w:unhideWhenUsed/>
    <w:rsid w:val="00C943CC"/>
    <w:rPr>
      <w:color w:val="0563C1"/>
      <w:u w:val="single"/>
    </w:rPr>
  </w:style>
  <w:style w:type="character" w:customStyle="1" w:styleId="PiedepginaCar">
    <w:name w:val="Pie de página Car"/>
    <w:link w:val="Piedepgina"/>
    <w:uiPriority w:val="99"/>
    <w:rsid w:val="00DB538A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2E6A1E-DC2B-F74D-B14F-5027CBDD0A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180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PROCEDIMIENTO PARA TRABAJOS EN ALTURA FISICA</vt:lpstr>
    </vt:vector>
  </TitlesOfParts>
  <Company>Universidad Catolica de Chile</Company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PROCEDIMIENTO PARA TRABAJOS EN ALTURA FISICA</dc:title>
  <dc:subject/>
  <dc:creator>Depto de Prevencion Puc</dc:creator>
  <cp:keywords/>
  <dc:description/>
  <cp:lastModifiedBy>Verónica Elisa Arenas Morales</cp:lastModifiedBy>
  <cp:revision>2</cp:revision>
  <cp:lastPrinted>2011-09-05T15:16:00Z</cp:lastPrinted>
  <dcterms:created xsi:type="dcterms:W3CDTF">2023-04-21T16:05:00Z</dcterms:created>
  <dcterms:modified xsi:type="dcterms:W3CDTF">2023-04-21T16:05:00Z</dcterms:modified>
</cp:coreProperties>
</file>