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emf" ContentType="image/x-emf"/>
  <Override PartName="/word/media/image12.png" ContentType="image/png"/>
  <Override PartName="/word/media/image13.png" ContentType="image/png"/>
  <Override PartName="/word/media/image14.png" ContentType="image/png"/>
  <Override PartName="/word/theme/theme1.xml" ContentType="application/vnd.openxmlformats-officedocument.theme+xml"/>
  <Override PartName="/word/embeddings/oleObject1.xlsx" ContentType="application/vnd.openxmlformats-officedocument.spreadsheetml.sheet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Arial Black" w:hAnsi="Arial Black"/>
          <w:b/>
          <w:b/>
          <w:i/>
          <w:i/>
          <w:color w:val="FF0000"/>
          <w:sz w:val="48"/>
          <w:u w:val="single"/>
        </w:rPr>
      </w:pPr>
      <w:r>
        <w:rPr>
          <w:rFonts w:ascii="Arial Black" w:hAnsi="Arial Black"/>
          <w:b/>
          <w:i/>
          <w:color w:val="FF0000"/>
          <w:sz w:val="48"/>
          <w:u w:val="single"/>
        </w:rPr>
      </w:r>
    </w:p>
    <w:p>
      <w:pPr>
        <w:pStyle w:val="Normal"/>
        <w:rPr>
          <w:rFonts w:ascii="Arial Black" w:hAnsi="Arial Black"/>
          <w:b/>
          <w:b/>
          <w:i/>
          <w:i/>
          <w:color w:val="FF0000"/>
          <w:sz w:val="48"/>
          <w:u w:val="single"/>
        </w:rPr>
      </w:pPr>
      <w:r>
        <w:rPr>
          <w:rFonts w:ascii="Arial Black" w:hAnsi="Arial Black"/>
          <w:b/>
          <w:i/>
          <w:color w:val="FF0000"/>
          <w:sz w:val="48"/>
          <w:u w:val="single"/>
        </w:rPr>
      </w:r>
    </w:p>
    <w:p>
      <w:pPr>
        <w:pStyle w:val="Normal"/>
        <w:jc w:val="center"/>
        <w:rPr>
          <w:rFonts w:ascii="Cambria" w:hAnsi="Cambria" w:asciiTheme="majorHAnsi" w:hAnsiTheme="majorHAnsi"/>
          <w:color w:val="1F497D" w:themeColor="text2"/>
          <w:sz w:val="52"/>
          <w:szCs w:val="52"/>
          <w:lang w:val="uk-UA"/>
        </w:rPr>
      </w:pPr>
      <w:r>
        <w:rPr>
          <w:rFonts w:ascii="Cambria" w:hAnsi="Cambria" w:asciiTheme="majorHAnsi" w:hAnsiTheme="majorHAnsi"/>
          <w:color w:val="1F497D" w:themeColor="text2"/>
          <w:sz w:val="52"/>
          <w:szCs w:val="52"/>
          <w:lang w:val="uk-UA"/>
        </w:rPr>
        <w:t xml:space="preserve">ЗВІТ </w:t>
      </w:r>
    </w:p>
    <w:p>
      <w:pPr>
        <w:pStyle w:val="Normal"/>
        <w:jc w:val="center"/>
        <w:rPr>
          <w:rFonts w:ascii="Cambria" w:hAnsi="Cambria" w:asciiTheme="majorHAnsi" w:hAnsiTheme="majorHAnsi"/>
          <w:color w:val="1F497D" w:themeColor="text2"/>
          <w:sz w:val="52"/>
          <w:szCs w:val="52"/>
          <w:lang w:val="uk-UA"/>
        </w:rPr>
      </w:pPr>
      <w:r>
        <w:rPr>
          <w:rFonts w:ascii="Cambria" w:hAnsi="Cambria" w:asciiTheme="majorHAnsi" w:hAnsiTheme="majorHAnsi"/>
          <w:color w:val="1F497D" w:themeColor="text2"/>
          <w:sz w:val="52"/>
          <w:szCs w:val="52"/>
          <w:lang w:val="uk-UA"/>
        </w:rPr>
        <w:t xml:space="preserve">З ЛАБОРАТОРНОЇ РОБОТИ №1 </w:t>
      </w:r>
    </w:p>
    <w:p>
      <w:pPr>
        <w:pStyle w:val="Normal"/>
        <w:jc w:val="center"/>
        <w:rPr>
          <w:i/>
          <w:i/>
          <w:sz w:val="28"/>
          <w:lang w:val="uk-UA"/>
        </w:rPr>
      </w:pPr>
      <w:r>
        <w:rPr>
          <w:i/>
          <w:sz w:val="28"/>
          <w:lang w:val="uk-UA"/>
        </w:rPr>
        <w:t>Тема: Вимірювальне обладнання</w:t>
      </w:r>
    </w:p>
    <w:p>
      <w:pPr>
        <w:pStyle w:val="Normal"/>
        <w:jc w:val="center"/>
        <w:rPr>
          <w:sz w:val="28"/>
          <w:lang w:val="uk-UA"/>
        </w:rPr>
      </w:pPr>
      <w:r>
        <w:rPr>
          <w:sz w:val="28"/>
          <w:lang w:val="uk-UA"/>
        </w:rPr>
      </w:r>
    </w:p>
    <w:p>
      <w:pPr>
        <w:pStyle w:val="Normal"/>
        <w:rPr>
          <w:sz w:val="28"/>
          <w:lang w:val="uk-UA"/>
        </w:rPr>
      </w:pPr>
      <w:r>
        <w:rPr>
          <w:sz w:val="28"/>
          <w:lang w:val="uk-UA"/>
        </w:rPr>
      </w:r>
    </w:p>
    <w:p>
      <w:pPr>
        <w:pStyle w:val="Normal"/>
        <w:rPr>
          <w:sz w:val="28"/>
          <w:lang w:val="uk-UA"/>
        </w:rPr>
      </w:pPr>
      <w:r>
        <w:rPr>
          <w:sz w:val="28"/>
          <w:lang w:val="uk-UA"/>
        </w:rPr>
      </w:r>
    </w:p>
    <w:p>
      <w:pPr>
        <w:pStyle w:val="Normal"/>
        <w:jc w:val="right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ab/>
        <w:tab/>
        <w:tab/>
        <w:tab/>
      </w:r>
    </w:p>
    <w:p>
      <w:pPr>
        <w:pStyle w:val="Normal"/>
        <w:jc w:val="center"/>
        <w:rPr>
          <w:rFonts w:ascii="Bahnschrift" w:hAnsi="Bahnschrift"/>
          <w:color w:val="000000" w:themeColor="text1"/>
          <w:sz w:val="24"/>
          <w:szCs w:val="52"/>
          <w:lang w:val="uk-UA"/>
        </w:rPr>
      </w:pPr>
      <w:r>
        <w:rPr>
          <w:rFonts w:ascii="Bahnschrift" w:hAnsi="Bahnschrift"/>
          <w:color w:val="000000" w:themeColor="text1"/>
          <w:sz w:val="24"/>
          <w:szCs w:val="52"/>
          <w:lang w:val="uk-UA"/>
        </w:rPr>
      </w:r>
    </w:p>
    <w:p>
      <w:pPr>
        <w:pStyle w:val="Normal"/>
        <w:jc w:val="center"/>
        <w:rPr>
          <w:rFonts w:ascii="Bahnschrift" w:hAnsi="Bahnschrift"/>
          <w:color w:val="000000" w:themeColor="text1"/>
          <w:sz w:val="52"/>
          <w:szCs w:val="52"/>
          <w:lang w:val="uk-UA"/>
        </w:rPr>
      </w:pPr>
      <w:r>
        <w:rPr>
          <w:rFonts w:ascii="Bahnschrift" w:hAnsi="Bahnschrift"/>
          <w:color w:val="000000" w:themeColor="text1"/>
          <w:sz w:val="52"/>
          <w:szCs w:val="52"/>
          <w:lang w:val="uk-UA"/>
        </w:rPr>
      </w:r>
    </w:p>
    <w:p>
      <w:pPr>
        <w:pStyle w:val="Normal"/>
        <w:rPr>
          <w:rFonts w:ascii="Bahnschrift" w:hAnsi="Bahnschrift"/>
          <w:color w:val="000000" w:themeColor="text1"/>
          <w:sz w:val="52"/>
          <w:szCs w:val="52"/>
          <w:lang w:val="uk-UA"/>
        </w:rPr>
      </w:pPr>
      <w:r>
        <w:rPr>
          <w:rFonts w:ascii="Bahnschrift" w:hAnsi="Bahnschrift"/>
          <w:color w:val="000000" w:themeColor="text1"/>
          <w:sz w:val="52"/>
          <w:szCs w:val="52"/>
          <w:lang w:val="uk-UA"/>
        </w:rPr>
      </w:r>
    </w:p>
    <w:p>
      <w:pPr>
        <w:pStyle w:val="Normal"/>
        <w:rPr>
          <w:rFonts w:ascii="Bahnschrift" w:hAnsi="Bahnschrift"/>
          <w:color w:val="000000" w:themeColor="text1"/>
          <w:sz w:val="52"/>
          <w:szCs w:val="52"/>
          <w:lang w:val="uk-UA"/>
        </w:rPr>
      </w:pPr>
      <w:r>
        <w:rPr>
          <w:rFonts w:ascii="Bahnschrift" w:hAnsi="Bahnschrift"/>
          <w:color w:val="000000" w:themeColor="text1"/>
          <w:sz w:val="52"/>
          <w:szCs w:val="52"/>
          <w:lang w:val="uk-UA"/>
        </w:rPr>
      </w:r>
    </w:p>
    <w:p>
      <w:pPr>
        <w:pStyle w:val="Normal"/>
        <w:rPr>
          <w:rFonts w:ascii="Bahnschrift" w:hAnsi="Bahnschrift"/>
          <w:color w:val="000000" w:themeColor="text1"/>
          <w:sz w:val="52"/>
          <w:szCs w:val="52"/>
          <w:lang w:val="uk-UA"/>
        </w:rPr>
      </w:pPr>
      <w:r>
        <w:rPr>
          <w:rFonts w:ascii="Bahnschrift" w:hAnsi="Bahnschrift"/>
          <w:color w:val="000000" w:themeColor="text1"/>
          <w:sz w:val="52"/>
          <w:szCs w:val="52"/>
          <w:lang w:val="uk-UA"/>
        </w:rPr>
      </w:r>
    </w:p>
    <w:p>
      <w:pPr>
        <w:pStyle w:val="Normal"/>
        <w:jc w:val="right"/>
        <w:rPr/>
      </w:pPr>
      <w:r>
        <w:rPr>
          <w:lang w:val="uk-UA"/>
        </w:rPr>
        <w:t xml:space="preserve">Роботу виконали: </w:t>
      </w:r>
    </w:p>
    <w:p>
      <w:pPr>
        <w:pStyle w:val="Normal"/>
        <w:jc w:val="right"/>
        <w:rPr/>
      </w:pPr>
      <w:r>
        <w:rPr>
          <w:lang w:val="uk-UA"/>
        </w:rPr>
        <w:t>Коваль Андрій</w:t>
        <w:br/>
      </w:r>
      <w:r>
        <w:rPr>
          <w:lang w:val="ru-RU"/>
        </w:rPr>
        <w:t>Теренть</w:t>
      </w:r>
      <w:r>
        <w:rPr>
          <w:lang w:val="uk-UA"/>
        </w:rPr>
        <w:t>єв Максим</w:t>
      </w:r>
    </w:p>
    <w:p>
      <w:pPr>
        <w:pStyle w:val="Normal"/>
        <w:jc w:val="right"/>
        <w:rPr>
          <w:lang w:val="uk-UA"/>
        </w:rPr>
      </w:pPr>
      <w:r>
        <w:rPr>
          <w:lang w:val="uk-UA"/>
        </w:rPr>
      </w:r>
    </w:p>
    <w:p>
      <w:pPr>
        <w:pStyle w:val="Normal"/>
        <w:rPr>
          <w:rFonts w:ascii="Arial Black" w:hAnsi="Arial Black"/>
          <w:b/>
          <w:b/>
          <w:i/>
          <w:i/>
          <w:color w:val="FF0000"/>
          <w:sz w:val="48"/>
          <w:u w:val="single"/>
          <w:lang w:val="uk-UA"/>
        </w:rPr>
      </w:pPr>
      <w:r>
        <w:rPr>
          <w:rFonts w:ascii="Arial Black" w:hAnsi="Arial Black"/>
          <w:b/>
          <w:i/>
          <w:color w:val="FF0000"/>
          <w:sz w:val="48"/>
          <w:u w:val="single"/>
          <w:lang w:val="uk-UA"/>
        </w:rPr>
      </w:r>
      <w:r>
        <w:br w:type="page"/>
      </w:r>
    </w:p>
    <w:p>
      <w:pPr>
        <w:pStyle w:val="Normal"/>
        <w:rPr>
          <w:rFonts w:ascii="Arial Black" w:hAnsi="Arial Black"/>
          <w:i/>
          <w:i/>
          <w:color w:val="FF0000"/>
          <w:sz w:val="48"/>
          <w:u w:val="single"/>
          <w:lang w:val="uk-UA"/>
        </w:rPr>
      </w:pPr>
      <w:r>
        <w:rPr>
          <w:sz w:val="28"/>
          <w:lang w:val="uk-UA"/>
        </w:rPr>
        <w:br/>
      </w:r>
      <w:r>
        <w:rPr>
          <w:i/>
          <w:sz w:val="32"/>
          <w:u w:val="single"/>
          <w:lang w:val="uk-UA"/>
        </w:rPr>
        <w:t>Зміст:</w:t>
      </w:r>
    </w:p>
    <w:p>
      <w:pPr>
        <w:pStyle w:val="ListParagraph"/>
        <w:numPr>
          <w:ilvl w:val="0"/>
          <w:numId w:val="1"/>
        </w:numPr>
        <w:rPr>
          <w:sz w:val="28"/>
          <w:lang w:val="uk-UA"/>
        </w:rPr>
      </w:pPr>
      <w:r>
        <w:rPr>
          <w:sz w:val="28"/>
          <w:lang w:val="uk-UA"/>
        </w:rPr>
        <w:t xml:space="preserve">Осцилограф </w:t>
      </w:r>
      <w:r>
        <w:rPr>
          <w:sz w:val="28"/>
          <w:lang w:val="en-US"/>
        </w:rPr>
        <w:t>Hankek</w:t>
      </w:r>
    </w:p>
    <w:p>
      <w:pPr>
        <w:pStyle w:val="ListParagraph"/>
        <w:ind w:left="360" w:hanging="0"/>
        <w:rPr/>
      </w:pPr>
      <w:r>
        <w:rPr>
          <w:sz w:val="28"/>
          <w:lang w:val="en-US"/>
        </w:rPr>
        <w:t>1)</w:t>
      </w:r>
      <w:hyperlink w:anchor="_1.1)_Осцилограф_Hantek">
        <w:r>
          <w:rPr>
            <w:rStyle w:val="InternetLink"/>
            <w:sz w:val="28"/>
            <w:lang w:val="uk-UA"/>
          </w:rPr>
          <w:t xml:space="preserve">Осилограф </w:t>
        </w:r>
        <w:r>
          <w:rPr>
            <w:rStyle w:val="InternetLink"/>
            <w:sz w:val="28"/>
            <w:lang w:val="en-US"/>
          </w:rPr>
          <w:t xml:space="preserve">Hantek – </w:t>
        </w:r>
        <w:r>
          <w:rPr>
            <w:rStyle w:val="InternetLink"/>
            <w:sz w:val="28"/>
          </w:rPr>
          <w:t>перетворення Фур</w:t>
        </w:r>
        <w:r>
          <w:rPr>
            <w:rStyle w:val="InternetLink"/>
            <w:sz w:val="28"/>
            <w:lang w:val="uk-UA"/>
          </w:rPr>
          <w:t>’є</w:t>
        </w:r>
      </w:hyperlink>
    </w:p>
    <w:p>
      <w:pPr>
        <w:pStyle w:val="ListParagraph"/>
        <w:ind w:left="360" w:hanging="0"/>
        <w:rPr/>
      </w:pPr>
      <w:r>
        <w:rPr>
          <w:sz w:val="28"/>
          <w:lang w:val="en-US"/>
        </w:rPr>
        <w:t>2)</w:t>
      </w:r>
      <w:hyperlink w:anchor="_1.2)_Осцилограф_Hantek">
        <w:r>
          <w:rPr>
            <w:rStyle w:val="InternetLink"/>
            <w:sz w:val="28"/>
            <w:lang w:val="en-US"/>
          </w:rPr>
          <w:t>Hantek –</w:t>
        </w:r>
        <w:r>
          <w:rPr>
            <w:rStyle w:val="InternetLink"/>
            <w:sz w:val="28"/>
            <w:lang w:val="uk-UA"/>
          </w:rPr>
          <w:t xml:space="preserve"> фігури Лісажу</w:t>
        </w:r>
      </w:hyperlink>
    </w:p>
    <w:p>
      <w:pPr>
        <w:pStyle w:val="ListParagraph"/>
        <w:ind w:left="360" w:hanging="0"/>
        <w:rPr>
          <w:sz w:val="28"/>
          <w:lang w:val="uk-UA"/>
        </w:rPr>
      </w:pPr>
      <w:r>
        <w:rPr>
          <w:sz w:val="28"/>
          <w:lang w:val="uk-UA"/>
        </w:rPr>
      </w:r>
    </w:p>
    <w:p>
      <w:pPr>
        <w:pStyle w:val="ListParagraph"/>
        <w:numPr>
          <w:ilvl w:val="0"/>
          <w:numId w:val="1"/>
        </w:numPr>
        <w:rPr/>
      </w:pPr>
      <w:r>
        <w:rPr>
          <w:sz w:val="28"/>
          <w:lang w:val="uk-UA"/>
        </w:rPr>
        <w:t xml:space="preserve">Осцилограф </w:t>
      </w:r>
      <w:r>
        <w:rPr>
          <w:sz w:val="28"/>
          <w:lang w:val="en-US"/>
        </w:rPr>
        <w:t>Tektronix</w:t>
      </w:r>
      <w:r>
        <w:rPr>
          <w:sz w:val="28"/>
          <w:lang w:val="uk-UA"/>
        </w:rPr>
        <w:br/>
        <w:t xml:space="preserve">1) </w:t>
      </w:r>
      <w:hyperlink w:anchor="_2.1)_Осцилограф_Tektronix">
        <w:r>
          <w:rPr>
            <w:rStyle w:val="InternetLink"/>
            <w:sz w:val="28"/>
            <w:lang w:val="uk-UA"/>
          </w:rPr>
          <w:t>Осцилограф Tektronix – ручна синхронізація</w:t>
        </w:r>
      </w:hyperlink>
    </w:p>
    <w:p>
      <w:pPr>
        <w:pStyle w:val="ListParagraph"/>
        <w:ind w:left="360" w:hanging="0"/>
        <w:rPr/>
      </w:pPr>
      <w:r>
        <w:rPr>
          <w:sz w:val="28"/>
          <w:lang w:val="uk-UA"/>
        </w:rPr>
        <w:t xml:space="preserve">2) </w:t>
      </w:r>
      <w:hyperlink w:anchor="_2.2)_Осцилограф_Tektronix">
        <w:r>
          <w:rPr>
            <w:rStyle w:val="InternetLink"/>
            <w:sz w:val="28"/>
            <w:lang w:val="uk-UA"/>
          </w:rPr>
          <w:t>Осцилограф Tektronix - перетворення Фур’є</w:t>
        </w:r>
      </w:hyperlink>
    </w:p>
    <w:p>
      <w:pPr>
        <w:pStyle w:val="ListParagraph"/>
        <w:ind w:left="360" w:hanging="0"/>
        <w:rPr/>
      </w:pPr>
      <w:r>
        <w:rPr>
          <w:sz w:val="28"/>
          <w:lang w:val="uk-UA"/>
        </w:rPr>
        <w:t xml:space="preserve">3) </w:t>
      </w:r>
      <w:hyperlink w:anchor="_2.3)_Осцилограф_Tektronix">
        <w:r>
          <w:rPr>
            <w:rStyle w:val="InternetLink"/>
            <w:sz w:val="28"/>
            <w:lang w:val="uk-UA"/>
          </w:rPr>
          <w:t>Осцилограф Tektronix – фігура Лісажу</w:t>
        </w:r>
      </w:hyperlink>
      <w:r>
        <w:rPr>
          <w:sz w:val="28"/>
          <w:lang w:val="uk-UA"/>
        </w:rPr>
        <w:br/>
      </w:r>
    </w:p>
    <w:p>
      <w:pPr>
        <w:pStyle w:val="ListParagraph"/>
        <w:numPr>
          <w:ilvl w:val="0"/>
          <w:numId w:val="1"/>
        </w:numPr>
        <w:rPr/>
      </w:pPr>
      <w:r>
        <w:rPr>
          <w:sz w:val="28"/>
          <w:lang w:val="uk-UA"/>
        </w:rPr>
        <w:t>Імпедансметр</w:t>
        <w:br/>
        <w:t xml:space="preserve">1) </w:t>
      </w:r>
      <w:hyperlink w:anchor="_3.1)_Імпедансметр_–">
        <w:r>
          <w:rPr>
            <w:rStyle w:val="InternetLink"/>
            <w:sz w:val="28"/>
            <w:lang w:val="uk-UA"/>
          </w:rPr>
          <w:t>Імпедансметр – Електричний опір резисторів</w:t>
        </w:r>
      </w:hyperlink>
      <w:r>
        <w:rPr>
          <w:sz w:val="28"/>
          <w:lang w:val="uk-UA"/>
        </w:rPr>
        <w:br/>
        <w:t xml:space="preserve">2) </w:t>
      </w:r>
      <w:hyperlink w:anchor="_3.2)_Імпедансметр_–">
        <w:r>
          <w:rPr>
            <w:rStyle w:val="InternetLink"/>
            <w:sz w:val="28"/>
            <w:lang w:val="uk-UA"/>
          </w:rPr>
          <w:t>Імпедансметр – Ємність конденсатора при різних частотах</w:t>
        </w:r>
      </w:hyperlink>
      <w:r>
        <w:rPr>
          <w:sz w:val="28"/>
          <w:lang w:val="uk-UA"/>
        </w:rPr>
        <w:br/>
        <w:t xml:space="preserve">3) </w:t>
      </w:r>
      <w:hyperlink w:anchor="_3.3)_Імпедансметр_–">
        <w:r>
          <w:rPr>
            <w:rStyle w:val="InternetLink"/>
            <w:sz w:val="28"/>
            <w:lang w:val="uk-UA"/>
          </w:rPr>
          <w:t>Імпедансметр – Індуктивність катушки при різних частотах</w:t>
        </w:r>
      </w:hyperlink>
      <w:r>
        <w:rPr>
          <w:sz w:val="28"/>
          <w:lang w:val="uk-UA"/>
        </w:rPr>
        <w:br/>
        <w:t xml:space="preserve">4) </w:t>
      </w:r>
      <w:hyperlink w:anchor="_3.4)_Імпедансметр_–">
        <w:r>
          <w:rPr>
            <w:rStyle w:val="InternetLink"/>
            <w:sz w:val="28"/>
            <w:lang w:val="uk-UA"/>
          </w:rPr>
          <w:t>Імпедансметр – Активний опір катушки при різних частотах</w:t>
        </w:r>
      </w:hyperlink>
      <w:r>
        <w:rPr>
          <w:lang w:val="uk-UA"/>
        </w:rPr>
        <w:br/>
        <w:br/>
        <w:br/>
        <w:br/>
        <w:br/>
        <w:br/>
        <w:br/>
      </w:r>
    </w:p>
    <w:p>
      <w:pPr>
        <w:pStyle w:val="ListParagraph"/>
        <w:ind w:left="360" w:hanging="0"/>
        <w:rPr>
          <w:lang w:val="uk-UA"/>
        </w:rPr>
      </w:pPr>
      <w:r>
        <w:rPr>
          <w:lang w:val="uk-UA"/>
        </w:rPr>
      </w:r>
    </w:p>
    <w:p>
      <w:pPr>
        <w:pStyle w:val="ListParagraph"/>
        <w:ind w:left="360" w:hanging="0"/>
        <w:rPr>
          <w:lang w:val="uk-UA"/>
        </w:rPr>
      </w:pPr>
      <w:r>
        <w:rPr>
          <w:lang w:val="uk-UA"/>
        </w:rPr>
      </w:r>
    </w:p>
    <w:p>
      <w:pPr>
        <w:pStyle w:val="ListParagraph"/>
        <w:ind w:left="360" w:hanging="0"/>
        <w:rPr>
          <w:lang w:val="uk-UA"/>
        </w:rPr>
      </w:pPr>
      <w:r>
        <w:rPr>
          <w:lang w:val="uk-UA"/>
        </w:rPr>
      </w:r>
    </w:p>
    <w:p>
      <w:pPr>
        <w:pStyle w:val="ListParagraph"/>
        <w:ind w:left="360" w:hanging="0"/>
        <w:rPr>
          <w:lang w:val="uk-UA"/>
        </w:rPr>
      </w:pPr>
      <w:r>
        <w:rPr>
          <w:lang w:val="uk-UA"/>
        </w:rPr>
      </w:r>
    </w:p>
    <w:p>
      <w:pPr>
        <w:pStyle w:val="ListParagraph"/>
        <w:ind w:left="360" w:hanging="0"/>
        <w:rPr>
          <w:lang w:val="uk-UA"/>
        </w:rPr>
      </w:pPr>
      <w:r>
        <w:rPr>
          <w:lang w:val="uk-UA"/>
        </w:rPr>
      </w:r>
    </w:p>
    <w:p>
      <w:pPr>
        <w:pStyle w:val="ListParagraph"/>
        <w:ind w:left="360" w:hanging="0"/>
        <w:rPr>
          <w:lang w:val="uk-UA"/>
        </w:rPr>
      </w:pPr>
      <w:r>
        <w:rPr>
          <w:lang w:val="uk-UA"/>
        </w:rPr>
      </w:r>
    </w:p>
    <w:p>
      <w:pPr>
        <w:pStyle w:val="ListParagraph"/>
        <w:ind w:left="360" w:hanging="0"/>
        <w:rPr>
          <w:lang w:val="uk-UA"/>
        </w:rPr>
      </w:pPr>
      <w:r>
        <w:rPr>
          <w:lang w:val="uk-UA"/>
        </w:rPr>
      </w:r>
    </w:p>
    <w:p>
      <w:pPr>
        <w:pStyle w:val="ListParagraph"/>
        <w:ind w:left="360" w:hanging="0"/>
        <w:rPr>
          <w:lang w:val="uk-UA"/>
        </w:rPr>
      </w:pPr>
      <w:r>
        <w:rPr>
          <w:lang w:val="uk-UA"/>
        </w:rPr>
      </w:r>
    </w:p>
    <w:p>
      <w:pPr>
        <w:pStyle w:val="ListParagraph"/>
        <w:ind w:left="360" w:hanging="0"/>
        <w:rPr>
          <w:lang w:val="uk-UA"/>
        </w:rPr>
      </w:pPr>
      <w:r>
        <w:rPr>
          <w:lang w:val="uk-UA"/>
        </w:rPr>
      </w:r>
    </w:p>
    <w:p>
      <w:pPr>
        <w:pStyle w:val="ListParagraph"/>
        <w:ind w:left="360" w:hanging="0"/>
        <w:rPr>
          <w:lang w:val="uk-UA"/>
        </w:rPr>
      </w:pPr>
      <w:r>
        <w:rPr>
          <w:lang w:val="uk-UA"/>
        </w:rPr>
      </w:r>
    </w:p>
    <w:p>
      <w:pPr>
        <w:pStyle w:val="ListParagraph"/>
        <w:ind w:left="360" w:hanging="0"/>
        <w:rPr>
          <w:lang w:val="uk-UA"/>
        </w:rPr>
      </w:pPr>
      <w:r>
        <w:rPr>
          <w:lang w:val="uk-UA"/>
        </w:rPr>
      </w:r>
    </w:p>
    <w:p>
      <w:pPr>
        <w:pStyle w:val="ListParagraph"/>
        <w:ind w:left="360" w:hanging="0"/>
        <w:rPr>
          <w:lang w:val="uk-UA"/>
        </w:rPr>
      </w:pPr>
      <w:r>
        <w:rPr>
          <w:lang w:val="uk-UA"/>
        </w:rPr>
      </w:r>
    </w:p>
    <w:p>
      <w:pPr>
        <w:pStyle w:val="ListParagraph"/>
        <w:ind w:left="360" w:hanging="0"/>
        <w:rPr>
          <w:lang w:val="uk-UA"/>
        </w:rPr>
      </w:pPr>
      <w:r>
        <w:rPr>
          <w:lang w:val="uk-UA"/>
        </w:rPr>
      </w:r>
    </w:p>
    <w:p>
      <w:pPr>
        <w:pStyle w:val="ListParagraph"/>
        <w:ind w:left="360" w:hanging="0"/>
        <w:rPr>
          <w:lang w:val="uk-UA"/>
        </w:rPr>
      </w:pPr>
      <w:r>
        <w:rPr>
          <w:lang w:val="uk-UA"/>
        </w:rPr>
      </w:r>
    </w:p>
    <w:p>
      <w:pPr>
        <w:pStyle w:val="ListParagraph"/>
        <w:ind w:left="360" w:hanging="0"/>
        <w:rPr>
          <w:lang w:val="uk-UA"/>
        </w:rPr>
      </w:pPr>
      <w:r>
        <w:rPr>
          <w:lang w:val="uk-UA"/>
        </w:rPr>
      </w:r>
    </w:p>
    <w:p>
      <w:pPr>
        <w:pStyle w:val="ListParagraph"/>
        <w:ind w:left="360" w:hanging="0"/>
        <w:rPr>
          <w:lang w:val="uk-UA"/>
        </w:rPr>
      </w:pPr>
      <w:r>
        <w:rPr>
          <w:lang w:val="uk-UA"/>
        </w:rPr>
      </w:r>
    </w:p>
    <w:p>
      <w:pPr>
        <w:pStyle w:val="ListParagraph"/>
        <w:ind w:left="360" w:hanging="0"/>
        <w:rPr>
          <w:lang w:val="uk-UA"/>
        </w:rPr>
      </w:pPr>
      <w:r>
        <w:rPr>
          <w:lang w:val="uk-UA"/>
        </w:rPr>
      </w:r>
    </w:p>
    <w:p>
      <w:pPr>
        <w:pStyle w:val="ListParagraph"/>
        <w:ind w:left="360" w:hanging="0"/>
        <w:rPr>
          <w:lang w:val="uk-UA"/>
        </w:rPr>
      </w:pPr>
      <w:r>
        <w:rPr>
          <w:lang w:val="uk-UA"/>
        </w:rPr>
      </w:r>
    </w:p>
    <w:p>
      <w:pPr>
        <w:pStyle w:val="ListParagraph"/>
        <w:ind w:left="360" w:hanging="0"/>
        <w:rPr>
          <w:lang w:val="uk-UA"/>
        </w:rPr>
      </w:pPr>
      <w:r>
        <w:rPr>
          <w:lang w:val="uk-UA"/>
        </w:rPr>
      </w:r>
    </w:p>
    <w:p>
      <w:pPr>
        <w:pStyle w:val="Heading1"/>
        <w:rPr/>
      </w:pPr>
      <w:bookmarkStart w:id="0" w:name="_1.1)_%2525D0%25259E%2525D1%252581%2525D"/>
      <w:bookmarkEnd w:id="0"/>
      <w:r>
        <w:rPr>
          <w:lang w:val="uk-UA"/>
        </w:rPr>
        <w:t xml:space="preserve">1.1) Осцилограф Hantek – перетворення Фур’є </w:t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rPr/>
      </w:pPr>
      <w:r>
        <w:rPr>
          <w:sz w:val="24"/>
          <w:szCs w:val="24"/>
          <w:lang w:val="uk-UA"/>
        </w:rPr>
        <w:t>Для отримання Фур’є-перетворення було виконано наступні дії:</w:t>
      </w:r>
    </w:p>
    <w:p>
      <w:pPr>
        <w:pStyle w:val="Normal"/>
        <w:rPr/>
      </w:pPr>
      <w:r>
        <w:rPr>
          <w:sz w:val="24"/>
          <w:szCs w:val="24"/>
          <w:lang w:val="uk-UA"/>
        </w:rPr>
        <w:t>-</w:t>
      </w:r>
      <w:r>
        <w:rPr>
          <w:sz w:val="24"/>
          <w:lang w:val="uk-UA"/>
        </w:rPr>
        <w:t xml:space="preserve">До осцилографа Hantek </w:t>
      </w:r>
      <w:r>
        <w:rPr>
          <w:sz w:val="24"/>
          <w:lang w:val="ru-RU"/>
        </w:rPr>
        <w:t xml:space="preserve">було </w:t>
      </w:r>
      <w:r>
        <w:rPr>
          <w:sz w:val="24"/>
          <w:lang w:val="uk-UA"/>
        </w:rPr>
        <w:t>підключено зовнішній генератор;</w:t>
      </w:r>
    </w:p>
    <w:p>
      <w:pPr>
        <w:pStyle w:val="Normal"/>
        <w:rPr/>
      </w:pPr>
      <w:r>
        <w:rPr>
          <w:sz w:val="24"/>
          <w:lang w:val="uk-UA"/>
        </w:rPr>
        <w:t xml:space="preserve">-За допомогою функції </w:t>
      </w:r>
      <w:r>
        <w:rPr>
          <w:sz w:val="24"/>
          <w:lang w:val="en-US"/>
        </w:rPr>
        <w:t xml:space="preserve">“fft” </w:t>
      </w:r>
      <w:r>
        <w:rPr>
          <w:sz w:val="24"/>
          <w:lang w:val="ru-RU"/>
        </w:rPr>
        <w:t>було проведено  процедуру Фур</w:t>
      </w:r>
      <w:r>
        <w:rPr>
          <w:sz w:val="24"/>
          <w:lang w:val="uk-UA"/>
        </w:rPr>
        <w:t>’є-перетворення на кожному виді сигналу осцилографа;</w:t>
      </w:r>
    </w:p>
    <w:p>
      <w:pPr>
        <w:pStyle w:val="Normal"/>
        <w:rPr/>
      </w:pPr>
      <w:r>
        <w:rPr>
          <w:sz w:val="24"/>
          <w:lang w:val="uk-UA"/>
        </w:rPr>
        <w:t>-</w:t>
      </w:r>
      <w:r>
        <w:rPr>
          <w:sz w:val="24"/>
          <w:lang w:val="ru-RU"/>
        </w:rPr>
        <w:t>Отриман</w:t>
      </w:r>
      <w:r>
        <w:rPr>
          <w:sz w:val="24"/>
          <w:lang w:val="uk-UA"/>
        </w:rPr>
        <w:t>і дані візуалізовано у вигляді графіків представлен</w:t>
      </w:r>
      <w:r>
        <w:rPr>
          <w:sz w:val="24"/>
          <w:lang w:val="ru-RU"/>
        </w:rPr>
        <w:t>о</w:t>
      </w:r>
      <w:r>
        <w:rPr>
          <w:sz w:val="24"/>
          <w:lang w:val="uk-UA"/>
        </w:rPr>
        <w:t xml:space="preserve"> нижче.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4137660" cy="211836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61255" t="37775" r="7130" b="26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i/>
          <w:i/>
          <w:color w:val="1F497D" w:themeColor="text2"/>
          <w:sz w:val="20"/>
          <w:lang w:val="uk-UA"/>
        </w:rPr>
      </w:pPr>
      <w:r>
        <w:rPr>
          <w:i/>
          <w:color w:val="1F497D" w:themeColor="text2"/>
          <w:sz w:val="20"/>
          <w:lang w:val="en-US"/>
        </w:rPr>
        <w:t>Arbitrary</w:t>
      </w:r>
      <w:r>
        <w:rPr>
          <w:i/>
          <w:color w:val="1F497D" w:themeColor="text2"/>
          <w:sz w:val="20"/>
          <w:lang w:val="uk-UA"/>
        </w:rPr>
        <w:t xml:space="preserve"> </w:t>
      </w:r>
      <w:r>
        <w:rPr>
          <w:i/>
          <w:color w:val="1F497D" w:themeColor="text2"/>
          <w:sz w:val="20"/>
          <w:lang w:val="en-US"/>
        </w:rPr>
        <w:t>Waveform</w:t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lang w:val="uk-UA"/>
        </w:rPr>
      </w:pPr>
      <w:r>
        <w:rPr/>
        <w:drawing>
          <wp:inline distT="0" distB="0" distL="0" distR="0">
            <wp:extent cx="3680460" cy="2263775"/>
            <wp:effectExtent l="0" t="0" r="0" b="0"/>
            <wp:docPr id="2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64373" t="48297" r="8317" b="16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i/>
          <w:i/>
          <w:color w:val="1F497D" w:themeColor="text2"/>
          <w:sz w:val="20"/>
          <w:lang w:val="en-US"/>
        </w:rPr>
      </w:pPr>
      <w:r>
        <w:rPr>
          <w:i/>
          <w:color w:val="1F497D" w:themeColor="text2"/>
          <w:sz w:val="20"/>
          <w:lang w:val="en-US"/>
        </w:rPr>
        <w:t>Ramp</w:t>
      </w:r>
      <w:r>
        <w:rPr>
          <w:i/>
          <w:color w:val="1F497D" w:themeColor="text2"/>
          <w:sz w:val="20"/>
          <w:lang w:val="uk-UA"/>
        </w:rPr>
        <w:t xml:space="preserve"> </w:t>
      </w:r>
      <w:r>
        <w:rPr>
          <w:i/>
          <w:color w:val="1F497D" w:themeColor="text2"/>
          <w:sz w:val="20"/>
          <w:lang w:val="en-US"/>
        </w:rPr>
        <w:t>W</w:t>
      </w:r>
      <w:r>
        <w:rPr>
          <w:i/>
          <w:color w:val="1F497D" w:themeColor="text2"/>
          <w:sz w:val="20"/>
          <w:lang w:val="uk-UA"/>
        </w:rPr>
        <w:t>ave</w:t>
      </w:r>
    </w:p>
    <w:p>
      <w:pPr>
        <w:pStyle w:val="Normal"/>
        <w:jc w:val="center"/>
        <w:rPr>
          <w:i/>
          <w:i/>
          <w:color w:val="1F497D" w:themeColor="text2"/>
          <w:sz w:val="20"/>
          <w:lang w:val="en-US"/>
        </w:rPr>
      </w:pPr>
      <w:r>
        <w:rPr/>
        <w:drawing>
          <wp:inline distT="0" distB="0" distL="0" distR="0">
            <wp:extent cx="3779520" cy="2225040"/>
            <wp:effectExtent l="0" t="0" r="0" b="0"/>
            <wp:docPr id="3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64124" t="40944" r="7716" b="24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i/>
          <w:i/>
          <w:color w:val="1F497D" w:themeColor="text2"/>
          <w:sz w:val="20"/>
          <w:lang w:val="en-US"/>
        </w:rPr>
      </w:pPr>
      <w:r>
        <w:rPr>
          <w:i/>
          <w:color w:val="1F497D" w:themeColor="text2"/>
          <w:sz w:val="20"/>
          <w:lang w:val="en-US"/>
        </w:rPr>
        <w:t>Square Wave</w:t>
      </w:r>
    </w:p>
    <w:p>
      <w:pPr>
        <w:pStyle w:val="Heading1"/>
        <w:rPr>
          <w:lang w:val="en-US"/>
        </w:rPr>
      </w:pPr>
      <w:bookmarkStart w:id="1" w:name="_1.2)_%2525D0%25259E%2525D1%252581%2525D"/>
      <w:bookmarkEnd w:id="1"/>
      <w:r>
        <w:rPr>
          <w:lang w:val="uk-UA"/>
        </w:rPr>
        <w:t xml:space="preserve">1.2) </w:t>
      </w:r>
      <w:r>
        <w:rPr/>
        <w:t>Осцилограф</w:t>
      </w:r>
      <w:r>
        <w:rPr>
          <w:lang w:val="en-US"/>
        </w:rPr>
        <w:t xml:space="preserve"> </w:t>
      </w:r>
      <w:r>
        <w:rPr>
          <w:lang w:val="uk-UA"/>
        </w:rPr>
        <w:t>Hantek</w:t>
      </w:r>
      <w:r>
        <w:rPr>
          <w:lang w:val="en-US"/>
        </w:rPr>
        <w:t xml:space="preserve"> – Фігура Лісажу</w:t>
      </w:r>
      <w:r>
        <w:rPr>
          <w:lang w:val="uk-UA"/>
        </w:rPr>
        <w:t xml:space="preserve"> </w:t>
      </w:r>
    </w:p>
    <w:p>
      <w:pPr>
        <w:pStyle w:val="Normal"/>
        <w:ind w:firstLine="708"/>
        <w:rPr/>
      </w:pPr>
      <w:r>
        <w:rPr>
          <w:sz w:val="24"/>
          <w:lang w:val="uk-UA"/>
        </w:rPr>
        <w:t xml:space="preserve">На відміну від пункту 1.1 до загальної схеми було додано допоміжну плату (генератор частот), що дало змогу отримати декілька сигналів одночасно. Сума двох сигналів, що надходили у осцилограф </w:t>
      </w:r>
      <w:r>
        <w:rPr>
          <w:sz w:val="24"/>
          <w:lang w:val="en-US"/>
        </w:rPr>
        <w:t xml:space="preserve">Hantek </w:t>
      </w:r>
      <w:r>
        <w:rPr>
          <w:sz w:val="24"/>
          <w:lang w:val="uk-UA"/>
        </w:rPr>
        <w:t>представлено нижче (фігура Лісажу)</w:t>
      </w:r>
      <w:r>
        <w:rPr>
          <w:lang w:val="uk-UA"/>
        </w:rPr>
        <w:t>.</w:t>
      </w:r>
    </w:p>
    <w:p>
      <w:pPr>
        <w:pStyle w:val="Normal"/>
        <w:jc w:val="center"/>
        <w:rPr>
          <w:lang w:val="uk-UA"/>
        </w:rPr>
      </w:pPr>
      <w:r>
        <w:rPr/>
        <w:drawing>
          <wp:inline distT="0" distB="0" distL="0" distR="0">
            <wp:extent cx="4087495" cy="2965450"/>
            <wp:effectExtent l="0" t="0" r="0" b="0"/>
            <wp:docPr id="4" name="Image1" descr="60Mhz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60Mhz.bmp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9942" t="51644" r="3397" b="4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i/>
          <w:i/>
          <w:color w:val="1F497D" w:themeColor="text2"/>
          <w:lang w:val="uk-UA"/>
        </w:rPr>
      </w:pPr>
      <w:r>
        <w:rPr>
          <w:i/>
          <w:color w:val="1F497D" w:themeColor="text2"/>
          <w:sz w:val="20"/>
          <w:lang w:val="uk-UA"/>
        </w:rPr>
        <w:t>Фігура Лісажу</w:t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Heading1"/>
        <w:rPr>
          <w:lang w:val="uk-UA"/>
        </w:rPr>
      </w:pPr>
      <w:bookmarkStart w:id="2" w:name="_2.1)_%2525D0%25259E%2525D1%252581%2525D"/>
      <w:bookmarkEnd w:id="2"/>
      <w:r>
        <w:rPr>
          <w:lang w:val="uk-UA"/>
        </w:rPr>
        <w:t>2.1) Осцилограф Tektronix – ручна синхронізація</w:t>
      </w:r>
    </w:p>
    <w:p>
      <w:pPr>
        <w:pStyle w:val="Normal"/>
        <w:ind w:firstLine="708"/>
        <w:rPr/>
      </w:pPr>
      <w:r>
        <w:rPr>
          <w:sz w:val="24"/>
          <w:lang w:val="uk-UA"/>
        </w:rPr>
        <w:t xml:space="preserve">За допомогою спеціальних щупів  до осцилографа </w:t>
      </w:r>
      <w:r>
        <w:rPr>
          <w:sz w:val="24"/>
          <w:lang w:val="en-US"/>
        </w:rPr>
        <w:t xml:space="preserve">Tektronix </w:t>
      </w:r>
      <w:r>
        <w:rPr>
          <w:sz w:val="24"/>
          <w:lang w:val="uk-UA"/>
        </w:rPr>
        <w:t>було підключено сигнал від внутрішнього генератора осцилографа. Після чого, було проведено ручну синхронізацію за допомогою ряду спеціальних перемикачів. Налагоджений сигнал представлено нижче.</w:t>
      </w:r>
    </w:p>
    <w:p>
      <w:pPr>
        <w:pStyle w:val="Normal"/>
        <w:jc w:val="center"/>
        <w:rPr>
          <w:lang w:val="uk-UA"/>
        </w:rPr>
      </w:pPr>
      <w:r>
        <w:rPr/>
        <w:drawing>
          <wp:inline distT="0" distB="0" distL="0" distR="0">
            <wp:extent cx="4245610" cy="3088640"/>
            <wp:effectExtent l="0" t="0" r="0" b="0"/>
            <wp:docPr id="5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5729" t="31855" r="7321" b="33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i/>
          <w:i/>
          <w:color w:val="17365D" w:themeColor="text2" w:themeShade="bf"/>
          <w:sz w:val="18"/>
          <w:lang w:val="uk-UA"/>
        </w:rPr>
      </w:pPr>
      <w:r>
        <w:rPr>
          <w:i/>
          <w:color w:val="17365D" w:themeColor="text2" w:themeShade="bf"/>
          <w:sz w:val="18"/>
          <w:lang w:val="uk-UA"/>
        </w:rPr>
        <w:t>Меандр</w:t>
      </w:r>
    </w:p>
    <w:p>
      <w:pPr>
        <w:pStyle w:val="Heading1"/>
        <w:rPr/>
      </w:pPr>
      <w:bookmarkStart w:id="3" w:name="_2.2)_%2525D0%25259E%2525D1%252581%2525D"/>
      <w:bookmarkEnd w:id="3"/>
      <w:r>
        <w:rPr>
          <w:lang w:val="uk-UA"/>
        </w:rPr>
        <w:t xml:space="preserve"> </w:t>
      </w:r>
      <w:r>
        <w:rPr>
          <w:lang w:val="uk-UA"/>
        </w:rPr>
        <w:t>2.2) Осцилограф Tektronix - перетворення Фур’є</w:t>
      </w:r>
    </w:p>
    <w:p>
      <w:pPr>
        <w:pStyle w:val="Normal"/>
        <w:rPr/>
      </w:pPr>
      <w:r>
        <w:rPr>
          <w:sz w:val="24"/>
          <w:szCs w:val="24"/>
          <w:lang w:val="uk-UA"/>
        </w:rPr>
        <w:tab/>
        <w:t xml:space="preserve">Для отримання </w:t>
      </w:r>
      <w:r>
        <w:rPr>
          <w:sz w:val="24"/>
          <w:szCs w:val="24"/>
          <w:lang w:val="ru-RU"/>
        </w:rPr>
        <w:t>Ф</w:t>
      </w:r>
      <w:r>
        <w:rPr>
          <w:sz w:val="24"/>
          <w:szCs w:val="24"/>
          <w:lang w:val="uk-UA"/>
        </w:rPr>
        <w:t>ур’є-перетворення було виконано наступні дії:</w:t>
      </w:r>
    </w:p>
    <w:p>
      <w:pPr>
        <w:pStyle w:val="Normal"/>
        <w:rPr/>
      </w:pPr>
      <w:r>
        <w:rPr>
          <w:sz w:val="24"/>
          <w:szCs w:val="24"/>
          <w:lang w:val="uk-UA"/>
        </w:rPr>
        <w:t>-</w:t>
      </w:r>
      <w:r>
        <w:rPr>
          <w:sz w:val="24"/>
          <w:lang w:val="uk-UA"/>
        </w:rPr>
        <w:t xml:space="preserve">До осцилографа </w:t>
      </w:r>
      <w:r>
        <w:rPr>
          <w:sz w:val="24"/>
          <w:lang w:val="en-US"/>
        </w:rPr>
        <w:t>Tektronix</w:t>
      </w:r>
      <w:r>
        <w:rPr>
          <w:sz w:val="24"/>
          <w:lang w:val="uk-UA"/>
        </w:rPr>
        <w:t xml:space="preserve"> </w:t>
      </w:r>
      <w:r>
        <w:rPr>
          <w:sz w:val="24"/>
          <w:lang w:val="ru-RU"/>
        </w:rPr>
        <w:t>з</w:t>
      </w:r>
      <w:r>
        <w:rPr>
          <w:sz w:val="24"/>
          <w:lang w:val="uk-UA"/>
        </w:rPr>
        <w:t xml:space="preserve">а допомогою спеціальних щупів </w:t>
      </w:r>
      <w:r>
        <w:rPr>
          <w:sz w:val="24"/>
          <w:lang w:val="ru-RU"/>
        </w:rPr>
        <w:t xml:space="preserve">було </w:t>
      </w:r>
      <w:r>
        <w:rPr>
          <w:sz w:val="24"/>
          <w:lang w:val="uk-UA"/>
        </w:rPr>
        <w:t>підключено внутрішній генератор;</w:t>
      </w:r>
    </w:p>
    <w:p>
      <w:pPr>
        <w:pStyle w:val="Normal"/>
        <w:rPr/>
      </w:pPr>
      <w:r>
        <w:rPr>
          <w:sz w:val="24"/>
          <w:lang w:val="uk-UA"/>
        </w:rPr>
        <w:t>-Проведено автосинхронізацію сигналу;</w:t>
      </w:r>
    </w:p>
    <w:p>
      <w:pPr>
        <w:pStyle w:val="Normal"/>
        <w:rPr/>
      </w:pPr>
      <w:r>
        <w:rPr>
          <w:sz w:val="24"/>
          <w:lang w:val="uk-UA"/>
        </w:rPr>
        <w:t xml:space="preserve">-За допомогою функції </w:t>
      </w:r>
      <w:r>
        <w:rPr>
          <w:sz w:val="24"/>
          <w:lang w:val="en-US"/>
        </w:rPr>
        <w:t>“fft”</w:t>
      </w:r>
      <w:r>
        <w:rPr>
          <w:sz w:val="24"/>
          <w:lang w:val="ru-RU"/>
        </w:rPr>
        <w:t xml:space="preserve"> проведено  процедуру Фур</w:t>
      </w:r>
      <w:r>
        <w:rPr>
          <w:sz w:val="24"/>
          <w:lang w:val="uk-UA"/>
        </w:rPr>
        <w:t>’є-перетворення;</w:t>
      </w:r>
    </w:p>
    <w:p>
      <w:pPr>
        <w:pStyle w:val="Normal"/>
        <w:ind w:hanging="0"/>
        <w:rPr/>
      </w:pPr>
      <w:r>
        <w:rPr>
          <w:sz w:val="24"/>
          <w:lang w:val="ru-RU"/>
        </w:rPr>
        <w:t>Отриман</w:t>
      </w:r>
      <w:r>
        <w:rPr>
          <w:sz w:val="24"/>
          <w:lang w:val="uk-UA"/>
        </w:rPr>
        <w:t>і дані візуалізовано у вигляді графік</w:t>
      </w:r>
      <w:r>
        <w:rPr>
          <w:sz w:val="24"/>
          <w:lang w:val="ru-RU"/>
        </w:rPr>
        <w:t>у</w:t>
      </w:r>
      <w:r>
        <w:rPr>
          <w:sz w:val="24"/>
          <w:lang w:val="uk-UA"/>
        </w:rPr>
        <w:t xml:space="preserve"> представлен</w:t>
      </w:r>
      <w:r>
        <w:rPr>
          <w:sz w:val="24"/>
          <w:lang w:val="ru-RU"/>
        </w:rPr>
        <w:t>о</w:t>
      </w:r>
      <w:r>
        <w:rPr>
          <w:sz w:val="24"/>
          <w:lang w:val="uk-UA"/>
        </w:rPr>
        <w:t xml:space="preserve"> нижче.</w:t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543425" cy="3479165"/>
            <wp:effectExtent l="0" t="0" r="0" b="0"/>
            <wp:docPr id="6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7162" t="21072" r="43025" b="7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i/>
          <w:i/>
          <w:color w:val="1F497D" w:themeColor="text2"/>
          <w:sz w:val="18"/>
          <w:lang w:val="uk-UA"/>
        </w:rPr>
      </w:pPr>
      <w:r>
        <w:rPr>
          <w:i/>
          <w:color w:val="1F497D" w:themeColor="text2"/>
          <w:sz w:val="18"/>
        </w:rPr>
        <w:t>Меандр</w:t>
      </w:r>
    </w:p>
    <w:p>
      <w:pPr>
        <w:pStyle w:val="Normal"/>
        <w:ind w:firstLine="708"/>
        <w:rPr/>
      </w:pPr>
      <w:r>
        <w:rPr>
          <w:sz w:val="24"/>
          <w:lang w:val="uk-UA"/>
        </w:rPr>
        <w:t xml:space="preserve">Також, </w:t>
      </w:r>
      <w:r>
        <w:rPr>
          <w:sz w:val="24"/>
          <w:lang w:val="uk-UA"/>
        </w:rPr>
        <w:t xml:space="preserve">до осцилографа </w:t>
      </w:r>
      <w:r>
        <w:rPr>
          <w:lang w:val="uk-UA"/>
        </w:rPr>
        <w:t>Tektronix</w:t>
      </w:r>
      <w:r>
        <w:rPr>
          <w:sz w:val="24"/>
          <w:lang w:val="uk-UA"/>
        </w:rPr>
        <w:t xml:space="preserve"> </w:t>
      </w:r>
      <w:r>
        <w:rPr>
          <w:sz w:val="24"/>
          <w:lang w:val="uk-UA"/>
        </w:rPr>
        <w:t xml:space="preserve">було підключено </w:t>
      </w:r>
      <w:r>
        <w:rPr>
          <w:sz w:val="24"/>
          <w:lang w:val="uk-UA"/>
        </w:rPr>
        <w:t>зовнішн</w:t>
      </w:r>
      <w:r>
        <w:rPr>
          <w:sz w:val="24"/>
          <w:lang w:val="uk-UA"/>
        </w:rPr>
        <w:t xml:space="preserve">ій </w:t>
      </w:r>
      <w:r>
        <w:rPr>
          <w:sz w:val="24"/>
          <w:lang w:val="uk-UA"/>
        </w:rPr>
        <w:t xml:space="preserve">генератор </w:t>
      </w:r>
      <w:r>
        <w:rPr>
          <w:sz w:val="24"/>
          <w:lang w:val="uk-UA"/>
        </w:rPr>
        <w:t>сигналів</w:t>
      </w:r>
      <w:r>
        <w:rPr>
          <w:sz w:val="24"/>
          <w:lang w:val="uk-UA"/>
        </w:rPr>
        <w:t xml:space="preserve">. </w:t>
      </w:r>
      <w:r>
        <w:rPr>
          <w:sz w:val="24"/>
          <w:lang w:val="uk-UA"/>
        </w:rPr>
        <w:t>Після чого було проведено</w:t>
      </w:r>
      <w:r>
        <w:rPr>
          <w:sz w:val="24"/>
          <w:lang w:val="uk-UA"/>
        </w:rPr>
        <w:t xml:space="preserve"> процедуру Фур'є-перетворення на кожному </w:t>
      </w:r>
      <w:r>
        <w:rPr>
          <w:sz w:val="24"/>
          <w:lang w:val="uk-UA"/>
        </w:rPr>
        <w:t xml:space="preserve">виду </w:t>
      </w:r>
      <w:r>
        <w:rPr>
          <w:sz w:val="24"/>
          <w:lang w:val="uk-UA"/>
        </w:rPr>
        <w:t xml:space="preserve">сигналів за допомогою функції </w:t>
      </w:r>
      <w:r>
        <w:rPr>
          <w:sz w:val="24"/>
          <w:lang w:val="uk-UA"/>
        </w:rPr>
        <w:t>“</w:t>
      </w:r>
      <w:r>
        <w:rPr>
          <w:sz w:val="24"/>
          <w:lang w:val="uk-UA"/>
        </w:rPr>
        <w:t xml:space="preserve">fft” </w:t>
      </w:r>
      <w:r>
        <w:rPr>
          <w:sz w:val="24"/>
          <w:lang w:val="uk-UA"/>
        </w:rPr>
        <w:t>за раніше описаним алгоритмом</w:t>
      </w:r>
      <w:r>
        <w:rPr>
          <w:sz w:val="24"/>
          <w:lang w:val="uk-UA"/>
        </w:rPr>
        <w:t>. Отримані дані виве</w:t>
      </w:r>
      <w:r>
        <w:rPr>
          <w:sz w:val="24"/>
          <w:lang w:val="uk-UA"/>
        </w:rPr>
        <w:t xml:space="preserve">дено </w:t>
      </w:r>
      <w:r>
        <w:rPr>
          <w:sz w:val="24"/>
          <w:lang w:val="uk-UA"/>
        </w:rPr>
        <w:t>у вигляді графіків, що подані нижче</w:t>
      </w:r>
      <w:r>
        <w:rPr>
          <w:sz w:val="24"/>
          <w:lang w:val="uk-UA"/>
        </w:rPr>
        <w:t>.</w: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color w:val="1F497D" w:themeColor="text2"/>
          <w:sz w:val="18"/>
          <w:lang w:val="en-US"/>
        </w:rPr>
      </w:pPr>
      <w:r>
        <w:rPr/>
        <w:drawing>
          <wp:inline distT="0" distB="0" distL="0" distR="0">
            <wp:extent cx="4307840" cy="2842260"/>
            <wp:effectExtent l="0" t="0" r="0" b="0"/>
            <wp:docPr id="7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3040" t="30570" r="7354" b="34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4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color w:val="1F497D" w:themeColor="text2"/>
          <w:sz w:val="18"/>
          <w:lang w:val="uk-UA"/>
        </w:rPr>
      </w:pPr>
      <w:r>
        <w:rPr>
          <w:color w:val="1F497D" w:themeColor="text2"/>
          <w:sz w:val="18"/>
          <w:lang w:val="en-US"/>
        </w:rPr>
        <w:t>Ramp</w:t>
      </w:r>
      <w:r>
        <w:rPr>
          <w:color w:val="1F497D" w:themeColor="text2"/>
          <w:sz w:val="18"/>
          <w:lang w:val="uk-UA"/>
        </w:rPr>
        <w:t xml:space="preserve"> </w:t>
      </w:r>
      <w:r>
        <w:rPr>
          <w:color w:val="1F497D" w:themeColor="text2"/>
          <w:sz w:val="18"/>
          <w:lang w:val="en-US"/>
        </w:rPr>
        <w:t>W</w:t>
      </w:r>
      <w:r>
        <w:rPr>
          <w:color w:val="1F497D" w:themeColor="text2"/>
          <w:sz w:val="18"/>
          <w:lang w:val="uk-UA"/>
        </w:rPr>
        <w:t>ave</w:t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jc w:val="center"/>
        <w:rPr>
          <w:i/>
          <w:i/>
          <w:color w:val="1F497D" w:themeColor="text2"/>
          <w:sz w:val="18"/>
          <w:lang w:val="uk-UA"/>
        </w:rPr>
      </w:pPr>
      <w:r>
        <w:rPr/>
        <w:drawing>
          <wp:inline distT="0" distB="0" distL="0" distR="0">
            <wp:extent cx="4917440" cy="3253740"/>
            <wp:effectExtent l="0" t="0" r="0" b="0"/>
            <wp:docPr id="8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5372" t="29104" r="4664" b="35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4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i/>
          <w:i/>
          <w:color w:val="1F497D" w:themeColor="text2"/>
          <w:sz w:val="18"/>
          <w:lang w:val="en-US"/>
        </w:rPr>
      </w:pPr>
      <w:r>
        <w:rPr>
          <w:i/>
          <w:color w:val="1F497D" w:themeColor="text2"/>
          <w:sz w:val="18"/>
          <w:lang w:val="en-US"/>
        </w:rPr>
        <w:t>Sinus Wave</w:t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jc w:val="center"/>
        <w:rPr>
          <w:i/>
          <w:i/>
          <w:color w:val="1F497D" w:themeColor="text2"/>
          <w:sz w:val="18"/>
          <w:lang w:val="en-US"/>
        </w:rPr>
      </w:pPr>
      <w:r>
        <w:rPr/>
        <w:drawing>
          <wp:inline distT="0" distB="0" distL="0" distR="0">
            <wp:extent cx="4060825" cy="2905760"/>
            <wp:effectExtent l="0" t="0" r="0" b="0"/>
            <wp:docPr id="9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7055" t="20448" r="44114" b="14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8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i/>
          <w:i/>
          <w:color w:val="1F497D" w:themeColor="text2"/>
          <w:sz w:val="18"/>
          <w:lang w:val="en-US"/>
        </w:rPr>
      </w:pPr>
      <w:r>
        <w:rPr>
          <w:i/>
          <w:color w:val="1F497D" w:themeColor="text2"/>
          <w:sz w:val="18"/>
          <w:lang w:val="en-US"/>
        </w:rPr>
        <w:t>Square Wave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Heading1"/>
        <w:rPr>
          <w:lang w:val="uk-UA"/>
        </w:rPr>
      </w:pPr>
      <w:bookmarkStart w:id="4" w:name="_2.3)_%2525D0%25259E%2525D1%252581%2525D"/>
      <w:bookmarkEnd w:id="4"/>
      <w:r>
        <w:rPr>
          <w:lang w:val="uk-UA"/>
        </w:rPr>
        <w:t>2.3) Осцилограф Tektronix – фігура Лісажу</w:t>
      </w:r>
    </w:p>
    <w:p>
      <w:pPr>
        <w:pStyle w:val="Normal"/>
        <w:ind w:firstLine="708"/>
        <w:rPr>
          <w:sz w:val="24"/>
          <w:szCs w:val="24"/>
        </w:rPr>
      </w:pPr>
      <w:r>
        <w:rPr>
          <w:sz w:val="24"/>
          <w:szCs w:val="24"/>
          <w:lang w:val="uk-UA"/>
        </w:rPr>
        <w:t>Аналогічно до п. 1.2 було під’єднано зовнішню плату до</w:t>
      </w:r>
      <w:r>
        <w:rPr>
          <w:sz w:val="24"/>
          <w:szCs w:val="24"/>
          <w:lang w:val="uk-UA"/>
        </w:rPr>
        <w:t xml:space="preserve"> до </w:t>
      </w:r>
      <w:r>
        <w:rPr>
          <w:sz w:val="24"/>
          <w:szCs w:val="24"/>
          <w:lang w:val="uk-UA"/>
        </w:rPr>
        <w:t>о</w:t>
      </w:r>
      <w:r>
        <w:rPr>
          <w:sz w:val="24"/>
          <w:szCs w:val="24"/>
          <w:lang w:val="uk-UA"/>
        </w:rPr>
        <w:t xml:space="preserve">сцилографа Tektronix  </w:t>
      </w:r>
      <w:r>
        <w:rPr>
          <w:sz w:val="24"/>
          <w:szCs w:val="24"/>
          <w:lang w:val="uk-UA"/>
        </w:rPr>
        <w:t xml:space="preserve">та </w:t>
      </w:r>
      <w:r>
        <w:rPr>
          <w:sz w:val="24"/>
          <w:szCs w:val="24"/>
          <w:lang w:val="uk-UA"/>
        </w:rPr>
        <w:t>отрима</w:t>
      </w:r>
      <w:r>
        <w:rPr>
          <w:sz w:val="24"/>
          <w:szCs w:val="24"/>
          <w:lang w:val="uk-UA"/>
        </w:rPr>
        <w:t xml:space="preserve">но </w:t>
      </w:r>
      <w:r>
        <w:rPr>
          <w:sz w:val="24"/>
          <w:szCs w:val="24"/>
          <w:lang w:val="uk-UA"/>
        </w:rPr>
        <w:t>фігуру Лісажу.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750945" cy="2954655"/>
            <wp:effectExtent l="0" t="0" r="0" b="0"/>
            <wp:docPr id="10" name="Рисунок 2" descr="2.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" descr="2.3.bmp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008" t="13456" r="24120" b="27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94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i/>
          <w:i/>
          <w:color w:val="1F497D" w:themeColor="text2"/>
          <w:lang w:val="uk-UA"/>
        </w:rPr>
      </w:pPr>
      <w:r>
        <w:rPr>
          <w:i/>
          <w:color w:val="1F497D" w:themeColor="text2"/>
          <w:sz w:val="20"/>
          <w:lang w:val="uk-UA"/>
        </w:rPr>
        <w:t>Фігура Лісажу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>
          <w:lang w:val="uk-UA"/>
        </w:rPr>
      </w:pPr>
      <w:bookmarkStart w:id="5" w:name="_3.1)_%2525D0%252586%2525D0%2525BC%2525D"/>
      <w:bookmarkEnd w:id="5"/>
      <w:r>
        <w:rPr/>
        <w:t xml:space="preserve">3.1) </w:t>
      </w:r>
      <w:r>
        <w:rPr>
          <w:lang w:val="uk-UA"/>
        </w:rPr>
        <w:t>Імпедансметр – Електричний опір резисторів</w:t>
      </w:r>
    </w:p>
    <w:p>
      <w:pPr>
        <w:pStyle w:val="Normal"/>
        <w:rPr/>
      </w:pPr>
      <w:r>
        <w:rPr>
          <w:lang w:val="uk-UA"/>
        </w:rPr>
        <w:tab/>
      </w:r>
      <w:r>
        <w:rPr>
          <w:sz w:val="24"/>
          <w:szCs w:val="24"/>
          <w:lang w:val="uk-UA"/>
        </w:rPr>
        <w:t>Для вимірювання електричного опору резисторів 1-4 було використано імпедансметр. Дані представлені в таблиці нижче.</w:t>
      </w:r>
    </w:p>
    <w:p>
      <w:pPr>
        <w:pStyle w:val="Normal"/>
        <w:rPr>
          <w:lang w:val="uk-UA"/>
        </w:rPr>
      </w:pPr>
      <w:r>
        <w:rPr/>
        <w:object w:dxaOrig="6400" w:dyaOrig="1536">
          <v:shape id="ole_rId12" style="width:314.25pt;height:73.5pt" o:ole="">
            <v:imagedata r:id="rId13" o:title=""/>
          </v:shape>
          <o:OLEObject Type="Embed" ProgID="Excel.Sheet.12" ShapeID="ole_rId12" DrawAspect="Content" ObjectID="_1384171295" r:id="rId12"/>
        </w:object>
      </w:r>
    </w:p>
    <w:p>
      <w:pPr>
        <w:pStyle w:val="Heading1"/>
        <w:rPr>
          <w:lang w:val="uk-UA"/>
        </w:rPr>
      </w:pPr>
      <w:bookmarkStart w:id="6" w:name="_3.2)_%2525D0%252586%2525D0%2525BC%2525D"/>
      <w:bookmarkEnd w:id="6"/>
      <w:r>
        <w:rPr>
          <w:lang w:val="uk-UA"/>
        </w:rPr>
        <w:t>3.2) Імпедансметр – Ємність конденсатора при різних частотах</w:t>
      </w:r>
    </w:p>
    <w:p>
      <w:pPr>
        <w:pStyle w:val="Normal"/>
        <w:rPr/>
      </w:pPr>
      <w:r>
        <w:rPr>
          <w:sz w:val="24"/>
          <w:lang w:val="uk-UA"/>
        </w:rPr>
        <w:tab/>
      </w:r>
      <w:r>
        <w:rPr>
          <w:sz w:val="24"/>
          <w:lang w:val="uk-UA"/>
        </w:rPr>
        <w:t>Також, за допомогою імпедансметру, було виміряно ємність конденсатора при різних частотах</w:t>
      </w:r>
      <w:r>
        <w:rPr>
          <w:sz w:val="24"/>
          <w:lang w:val="uk-UA"/>
        </w:rPr>
        <w:t>. Отримали залежність ємності від частоти, графік якої приведено нижче.</w:t>
      </w:r>
    </w:p>
    <w:p>
      <w:pPr>
        <w:pStyle w:val="Normal"/>
        <w:rPr>
          <w:sz w:val="24"/>
          <w:lang w:val="uk-UA"/>
        </w:rPr>
      </w:pPr>
      <w:r>
        <w:rPr>
          <w:sz w:val="24"/>
          <w:lang w:val="uk-UA"/>
        </w:rPr>
      </w:r>
    </w:p>
    <w:p>
      <w:pPr>
        <w:pStyle w:val="Normal"/>
        <w:jc w:val="center"/>
        <w:rPr>
          <w:lang w:val="uk-UA"/>
        </w:rPr>
      </w:pPr>
      <w:r>
        <w:rPr/>
        <w:drawing>
          <wp:inline distT="0" distB="0" distL="0" distR="0">
            <wp:extent cx="3368040" cy="2738755"/>
            <wp:effectExtent l="0" t="0" r="0" b="0"/>
            <wp:docPr id="11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6801" t="17210" r="31444" b="7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Heading1"/>
        <w:rPr/>
      </w:pPr>
      <w:bookmarkStart w:id="7" w:name="_3.3)_%2525D0%252586%2525D0%2525BC%2525D"/>
      <w:bookmarkEnd w:id="7"/>
      <w:r>
        <w:rPr>
          <w:lang w:val="uk-UA"/>
        </w:rPr>
        <w:t xml:space="preserve">3.3) Імпедансметр – </w:t>
      </w:r>
      <w:r>
        <w:rPr>
          <w:lang w:val="uk-UA"/>
        </w:rPr>
        <w:t>індуктивність</w:t>
      </w:r>
      <w:r>
        <w:rPr>
          <w:lang w:val="uk-UA"/>
        </w:rPr>
        <w:t xml:space="preserve"> котушки при різних частотах</w:t>
      </w:r>
    </w:p>
    <w:p>
      <w:pPr>
        <w:pStyle w:val="Normal"/>
        <w:rPr/>
      </w:pPr>
      <w:r>
        <w:rPr>
          <w:sz w:val="24"/>
        </w:rPr>
        <w:tab/>
      </w:r>
      <w:r>
        <w:rPr>
          <w:sz w:val="24"/>
          <w:szCs w:val="24"/>
          <w:lang w:val="uk-UA"/>
        </w:rPr>
        <w:t>Було досліджено</w:t>
      </w:r>
      <w:r>
        <w:rPr>
          <w:sz w:val="24"/>
          <w:lang w:val="uk-UA"/>
        </w:rPr>
        <w:t xml:space="preserve"> індуктивність котушки </w:t>
      </w:r>
      <w:r>
        <w:rPr>
          <w:sz w:val="24"/>
          <w:lang w:val="uk-UA"/>
        </w:rPr>
        <w:t xml:space="preserve">індуктивності </w:t>
      </w:r>
      <w:r>
        <w:rPr>
          <w:sz w:val="24"/>
          <w:lang w:val="uk-UA"/>
        </w:rPr>
        <w:t>при різних частотах</w:t>
      </w:r>
      <w:r>
        <w:rPr>
          <w:sz w:val="24"/>
          <w:lang w:val="uk-UA"/>
        </w:rPr>
        <w:t xml:space="preserve"> (за допомогою імпедансметру)</w:t>
      </w:r>
      <w:r>
        <w:rPr>
          <w:sz w:val="24"/>
          <w:lang w:val="uk-UA"/>
        </w:rPr>
        <w:t>. Отрима</w:t>
      </w:r>
      <w:r>
        <w:rPr>
          <w:sz w:val="24"/>
          <w:lang w:val="uk-UA"/>
        </w:rPr>
        <w:t>но</w:t>
      </w:r>
      <w:r>
        <w:rPr>
          <w:sz w:val="24"/>
          <w:lang w:val="uk-UA"/>
        </w:rPr>
        <w:t xml:space="preserve"> залежність индуктивності від частоти, графік якої приведено нижче.</w:t>
      </w:r>
    </w:p>
    <w:p>
      <w:pPr>
        <w:pStyle w:val="Normal"/>
        <w:jc w:val="center"/>
        <w:rPr>
          <w:i/>
          <w:i/>
          <w:color w:val="1F497D" w:themeColor="text2"/>
          <w:sz w:val="18"/>
          <w:lang w:val="uk-UA"/>
        </w:rPr>
      </w:pPr>
      <w:r>
        <w:rPr/>
        <w:drawing>
          <wp:inline distT="0" distB="0" distL="0" distR="0">
            <wp:extent cx="3505200" cy="2787650"/>
            <wp:effectExtent l="0" t="0" r="0" b="0"/>
            <wp:docPr id="12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4346" t="19282" r="36108" b="10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i/>
          <w:i/>
          <w:color w:val="1F497D" w:themeColor="text2"/>
          <w:sz w:val="18"/>
          <w:lang w:val="uk-UA"/>
        </w:rPr>
      </w:pPr>
      <w:r>
        <w:rPr>
          <w:i/>
          <w:color w:val="1F497D" w:themeColor="text2"/>
          <w:sz w:val="18"/>
          <w:lang w:val="uk-UA"/>
        </w:rPr>
        <w:t>Індуктивність</w:t>
      </w:r>
    </w:p>
    <w:p>
      <w:pPr>
        <w:pStyle w:val="Heading1"/>
        <w:rPr>
          <w:lang w:val="uk-UA"/>
        </w:rPr>
      </w:pPr>
      <w:bookmarkStart w:id="8" w:name="_3.4)_%2525D0%252586%2525D0%2525BC%2525D"/>
      <w:bookmarkEnd w:id="8"/>
      <w:r>
        <w:rPr>
          <w:lang w:val="uk-UA"/>
        </w:rPr>
        <w:t xml:space="preserve">3.4) Імпедансметр – активний </w:t>
      </w:r>
      <w:bookmarkStart w:id="9" w:name="_GoBack"/>
      <w:bookmarkEnd w:id="9"/>
      <w:r>
        <w:rPr>
          <w:lang w:val="uk-UA"/>
        </w:rPr>
        <w:t>опір котушки при різних частотах</w:t>
      </w:r>
    </w:p>
    <w:p>
      <w:pPr>
        <w:pStyle w:val="Normal"/>
        <w:rPr/>
      </w:pPr>
      <w:r>
        <w:rPr>
          <w:sz w:val="24"/>
          <w:lang w:val="uk-UA"/>
        </w:rPr>
        <w:tab/>
      </w:r>
      <w:r>
        <w:rPr>
          <w:sz w:val="24"/>
          <w:lang w:val="uk-UA"/>
        </w:rPr>
        <w:t>Також, було д</w:t>
      </w:r>
      <w:r>
        <w:rPr>
          <w:sz w:val="24"/>
          <w:lang w:val="uk-UA"/>
        </w:rPr>
        <w:t>ослід</w:t>
      </w:r>
      <w:r>
        <w:rPr>
          <w:sz w:val="24"/>
          <w:lang w:val="uk-UA"/>
        </w:rPr>
        <w:t>жено</w:t>
      </w:r>
      <w:r>
        <w:rPr>
          <w:sz w:val="24"/>
          <w:lang w:val="uk-UA"/>
        </w:rPr>
        <w:t xml:space="preserve"> активний опір</w:t>
      </w:r>
      <w:r>
        <w:rPr>
          <w:sz w:val="28"/>
          <w:lang w:val="uk-UA"/>
        </w:rPr>
        <w:t xml:space="preserve"> </w:t>
      </w:r>
      <w:r>
        <w:rPr>
          <w:sz w:val="24"/>
          <w:lang w:val="uk-UA"/>
        </w:rPr>
        <w:t>цієї котушки при різних частотах</w:t>
      </w:r>
      <w:r>
        <w:rPr>
          <w:sz w:val="24"/>
          <w:lang w:val="uk-UA"/>
        </w:rPr>
        <w:t xml:space="preserve"> (за допомогою імпедансметру)</w:t>
      </w:r>
      <w:r>
        <w:rPr>
          <w:sz w:val="24"/>
          <w:lang w:val="uk-UA"/>
        </w:rPr>
        <w:t>. Отрима</w:t>
      </w:r>
      <w:r>
        <w:rPr>
          <w:sz w:val="24"/>
          <w:lang w:val="uk-UA"/>
        </w:rPr>
        <w:t>на</w:t>
      </w:r>
      <w:r>
        <w:rPr>
          <w:sz w:val="24"/>
          <w:lang w:val="uk-UA"/>
        </w:rPr>
        <w:t xml:space="preserve"> </w:t>
      </w:r>
      <w:r>
        <w:rPr>
          <w:sz w:val="24"/>
          <w:szCs w:val="24"/>
          <w:lang w:val="uk-UA"/>
        </w:rPr>
        <w:t>залежність активного опору від</w:t>
      </w:r>
      <w:r>
        <w:rPr>
          <w:sz w:val="24"/>
          <w:lang w:val="uk-UA"/>
        </w:rPr>
        <w:t xml:space="preserve"> частоти приведен</w:t>
      </w:r>
      <w:r>
        <w:rPr>
          <w:sz w:val="24"/>
          <w:lang w:val="uk-UA"/>
        </w:rPr>
        <w:t>а</w:t>
      </w:r>
      <w:r>
        <w:rPr>
          <w:sz w:val="24"/>
          <w:lang w:val="uk-UA"/>
        </w:rPr>
        <w:t xml:space="preserve"> нижче.</w:t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ListParagraph"/>
        <w:ind w:left="360" w:hanging="0"/>
        <w:jc w:val="center"/>
        <w:rPr/>
      </w:pPr>
      <w:r>
        <w:rPr/>
        <w:drawing>
          <wp:inline distT="0" distB="0" distL="0" distR="0">
            <wp:extent cx="3667760" cy="2918460"/>
            <wp:effectExtent l="0" t="0" r="0" b="0"/>
            <wp:docPr id="13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3066" t="19912" r="37858" b="10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jc w:val="center"/>
        <w:rPr/>
      </w:pPr>
      <w:r>
        <w:rPr>
          <w:i/>
          <w:color w:val="1F497D" w:themeColor="text2"/>
          <w:lang w:val="uk-UA"/>
        </w:rPr>
        <w:t>Активний опір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cc"/>
    <w:family w:val="roman"/>
    <w:pitch w:val="variable"/>
  </w:font>
  <w:font w:name="Calibri">
    <w:charset w:val="cc"/>
    <w:family w:val="roman"/>
    <w:pitch w:val="variable"/>
  </w:font>
  <w:font w:name="Cambria">
    <w:charset w:val="cc"/>
    <w:family w:val="roman"/>
    <w:pitch w:val="variable"/>
  </w:font>
  <w:font w:name="Tahoma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Arial Black">
    <w:charset w:val="cc"/>
    <w:family w:val="roman"/>
    <w:pitch w:val="variable"/>
  </w:font>
  <w:font w:name="Bahnschrift"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sz w:val="28"/>
      </w:rPr>
    </w:lvl>
    <w:lvl w:ilvl="1">
      <w:start w:val="1"/>
      <w:numFmt w:val="decimal"/>
      <w:lvlText w:val="%1.%2)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2160" w:hanging="720"/>
      </w:pPr>
    </w:lvl>
    <w:lvl w:ilvl="3">
      <w:start w:val="1"/>
      <w:numFmt w:val="decimal"/>
      <w:lvlText w:val="%1.%2.%3.%4."/>
      <w:lvlJc w:val="left"/>
      <w:pPr>
        <w:ind w:left="2880" w:hanging="720"/>
      </w:pPr>
    </w:lvl>
    <w:lvl w:ilvl="4">
      <w:start w:val="1"/>
      <w:numFmt w:val="decimal"/>
      <w:lvlText w:val="%1.%2.%3.%4.%5."/>
      <w:lvlJc w:val="left"/>
      <w:pPr>
        <w:ind w:left="3960" w:hanging="1080"/>
      </w:pPr>
    </w:lvl>
    <w:lvl w:ilvl="5">
      <w:start w:val="1"/>
      <w:numFmt w:val="decimal"/>
      <w:lvlText w:val="%1.%2.%3.%4.%5.%6."/>
      <w:lvlJc w:val="left"/>
      <w:pPr>
        <w:ind w:left="4680" w:hanging="1080"/>
      </w:pPr>
    </w:lvl>
    <w:lvl w:ilvl="6">
      <w:start w:val="1"/>
      <w:numFmt w:val="decimal"/>
      <w:lvlText w:val="%1.%2.%3.%4.%5.%6.%7."/>
      <w:lvlJc w:val="left"/>
      <w:pPr>
        <w:ind w:left="5760" w:hanging="1440"/>
      </w:pPr>
    </w:lvl>
    <w:lvl w:ilvl="7">
      <w:start w:val="1"/>
      <w:numFmt w:val="decimal"/>
      <w:lvlText w:val="%1.%2.%3.%4.%5.%6.%7.%8."/>
      <w:lvlJc w:val="left"/>
      <w:pPr>
        <w:ind w:left="6480" w:hanging="1440"/>
      </w:pPr>
    </w:lvl>
    <w:lvl w:ilvl="8">
      <w:start w:val="1"/>
      <w:numFmt w:val="decimal"/>
      <w:lvlText w:val="%1.%2.%3.%4.%5.%6.%7.%8.%9."/>
      <w:lvlJc w:val="left"/>
      <w:pPr>
        <w:ind w:left="7560" w:hanging="180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08"/>
  <w:compat/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4904a0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0"/>
    <w:uiPriority w:val="9"/>
    <w:qFormat/>
    <w:rsid w:val="00405f3d"/>
    <w:pPr>
      <w:keepNext w:val="true"/>
      <w:keepLines/>
      <w:spacing w:before="240" w:after="0"/>
      <w:outlineLvl w:val="0"/>
    </w:pPr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3" w:customStyle="1">
    <w:name w:val="Текст выноски Знак"/>
    <w:basedOn w:val="DefaultParagraphFont"/>
    <w:link w:val="a4"/>
    <w:uiPriority w:val="99"/>
    <w:semiHidden/>
    <w:qFormat/>
    <w:rsid w:val="00907a5e"/>
    <w:rPr>
      <w:rFonts w:ascii="Tahoma" w:hAnsi="Tahoma" w:cs="Tahoma"/>
      <w:sz w:val="16"/>
      <w:szCs w:val="16"/>
    </w:rPr>
  </w:style>
  <w:style w:type="character" w:styleId="Style14" w:customStyle="1">
    <w:name w:val="Без интервала Знак"/>
    <w:basedOn w:val="DefaultParagraphFont"/>
    <w:link w:val="a6"/>
    <w:uiPriority w:val="1"/>
    <w:qFormat/>
    <w:rsid w:val="001c1c4e"/>
    <w:rPr>
      <w:rFonts w:eastAsia="" w:eastAsiaTheme="minorEastAsia"/>
      <w:lang w:val="en-US"/>
    </w:rPr>
  </w:style>
  <w:style w:type="character" w:styleId="1" w:customStyle="1">
    <w:name w:val="Заголовок 1 Знак"/>
    <w:basedOn w:val="DefaultParagraphFont"/>
    <w:link w:val="1"/>
    <w:uiPriority w:val="9"/>
    <w:qFormat/>
    <w:rsid w:val="00405f3d"/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32"/>
      <w:szCs w:val="32"/>
    </w:rPr>
  </w:style>
  <w:style w:type="character" w:styleId="InternetLink">
    <w:name w:val="Internet Link"/>
    <w:basedOn w:val="DefaultParagraphFont"/>
    <w:uiPriority w:val="99"/>
    <w:unhideWhenUsed/>
    <w:rsid w:val="00405f3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405f3d"/>
    <w:rPr>
      <w:color w:val="800080" w:themeColor="followedHyperlink"/>
      <w:u w:val="single"/>
    </w:rPr>
  </w:style>
  <w:style w:type="character" w:styleId="ListLabel1">
    <w:name w:val="ListLabel 1"/>
    <w:qFormat/>
    <w:rPr>
      <w:sz w:val="28"/>
    </w:rPr>
  </w:style>
  <w:style w:type="character" w:styleId="ListLabel2">
    <w:name w:val="ListLabel 2"/>
    <w:qFormat/>
    <w:rPr>
      <w:sz w:val="28"/>
      <w:lang w:val="uk-UA"/>
    </w:rPr>
  </w:style>
  <w:style w:type="character" w:styleId="ListLabel3">
    <w:name w:val="ListLabel 3"/>
    <w:qFormat/>
    <w:rPr>
      <w:sz w:val="28"/>
      <w:lang w:val="en-US"/>
    </w:rPr>
  </w:style>
  <w:style w:type="character" w:styleId="ListLabel4">
    <w:name w:val="ListLabel 4"/>
    <w:qFormat/>
    <w:rPr>
      <w:sz w:val="28"/>
    </w:rPr>
  </w:style>
  <w:style w:type="character" w:styleId="ListLabel5">
    <w:name w:val="ListLabel 5"/>
    <w:qFormat/>
    <w:rPr>
      <w:sz w:val="28"/>
    </w:rPr>
  </w:style>
  <w:style w:type="character" w:styleId="ListLabel6">
    <w:name w:val="ListLabel 6"/>
    <w:qFormat/>
    <w:rPr>
      <w:sz w:val="28"/>
      <w:lang w:val="uk-UA"/>
    </w:rPr>
  </w:style>
  <w:style w:type="character" w:styleId="ListLabel7">
    <w:name w:val="ListLabel 7"/>
    <w:qFormat/>
    <w:rPr>
      <w:sz w:val="28"/>
      <w:lang w:val="en-US"/>
    </w:rPr>
  </w:style>
  <w:style w:type="character" w:styleId="ListLabel8">
    <w:name w:val="ListLabel 8"/>
    <w:qFormat/>
    <w:rPr>
      <w:sz w:val="28"/>
    </w:rPr>
  </w:style>
  <w:style w:type="character" w:styleId="ListLabel9">
    <w:name w:val="ListLabel 9"/>
    <w:qFormat/>
    <w:rPr>
      <w:sz w:val="28"/>
    </w:rPr>
  </w:style>
  <w:style w:type="character" w:styleId="ListLabel10">
    <w:name w:val="ListLabel 10"/>
    <w:qFormat/>
    <w:rPr>
      <w:sz w:val="28"/>
      <w:lang w:val="uk-UA"/>
    </w:rPr>
  </w:style>
  <w:style w:type="character" w:styleId="ListLabel11">
    <w:name w:val="ListLabel 11"/>
    <w:qFormat/>
    <w:rPr>
      <w:sz w:val="28"/>
      <w:lang w:val="en-US"/>
    </w:rPr>
  </w:style>
  <w:style w:type="character" w:styleId="ListLabel12">
    <w:name w:val="ListLabel 12"/>
    <w:qFormat/>
    <w:rPr>
      <w:sz w:val="2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907a5e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a5"/>
    <w:uiPriority w:val="99"/>
    <w:semiHidden/>
    <w:unhideWhenUsed/>
    <w:qFormat/>
    <w:rsid w:val="00907a5e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NoSpacing">
    <w:name w:val="No Spacing"/>
    <w:link w:val="a7"/>
    <w:uiPriority w:val="1"/>
    <w:qFormat/>
    <w:rsid w:val="001c1c4e"/>
    <w:pPr>
      <w:widowControl/>
      <w:bidi w:val="0"/>
      <w:spacing w:lineRule="auto" w:line="240" w:before="0" w:after="0"/>
      <w:jc w:val="left"/>
    </w:pPr>
    <w:rPr>
      <w:rFonts w:ascii="Calibri" w:hAnsi="Calibri" w:eastAsia="" w:cs="" w:eastAsiaTheme="minorEastAsia"/>
      <w:color w:val="auto"/>
      <w:kern w:val="0"/>
      <w:sz w:val="22"/>
      <w:szCs w:val="22"/>
      <w:lang w:val="en-US" w:eastAsia="en-US" w:bidi="ar-SA"/>
    </w:rPr>
  </w:style>
  <w:style w:type="paragraph" w:styleId="Caption1">
    <w:name w:val="caption"/>
    <w:basedOn w:val="Normal"/>
    <w:next w:val="Normal"/>
    <w:uiPriority w:val="35"/>
    <w:unhideWhenUsed/>
    <w:qFormat/>
    <w:rsid w:val="00cc6f3e"/>
    <w:pPr>
      <w:spacing w:lineRule="auto" w:line="240"/>
    </w:pPr>
    <w:rPr>
      <w:i/>
      <w:iCs/>
      <w:color w:val="1F497D" w:themeColor="text2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package" Target="embeddings/oleObject1.xlsx"/><Relationship Id="rId13" Type="http://schemas.openxmlformats.org/officeDocument/2006/relationships/image" Target="media/image11.emf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<Relationship Id="rId2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F6617C-1A56-430B-BAC1-41ACE26CFD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Application>Neat_Office/6.2.8.2$Windows_x86 LibreOffice_project/</Application>
  <Pages>10</Pages>
  <Words>407</Words>
  <Characters>2884</Characters>
  <CharactersWithSpaces>3281</CharactersWithSpaces>
  <Paragraphs>66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2019-02-04T20:40:00Z</dcterms:created>
  <dc:creator>Пользователь Windows</dc:creator>
  <dc:description/>
  <dc:language>en-US</dc:language>
  <cp:lastModifiedBy/>
  <dcterms:modified xsi:type="dcterms:W3CDTF">2020-03-03T13:15:16Z</dcterms:modified>
  <cp:revision>35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