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0" w:line="240" w:lineRule="auto"/>
      </w:pPr>
      <w:r>
        <w:rPr>
          <w:rFonts w:ascii="Aptos" w:hAnsi="Aptos"/>
          <w:b/>
          <w:color w:val="000000"/>
          <w:sz w:val="46"/>
        </w:rPr>
        <w:t>Retail Profit Leakage Action Plan</w:t>
      </w:r>
    </w:p>
    <w:p>
      <w:pPr>
        <w:pStyle w:val="Subtitle"/>
        <w:spacing w:before="20" w:after="200" w:line="240" w:lineRule="auto"/>
      </w:pPr>
      <w:r>
        <w:rPr>
          <w:rFonts w:ascii="Aptos" w:hAnsi="Aptos"/>
          <w:b w:val="0"/>
          <w:color w:val="5B6770"/>
          <w:sz w:val="19"/>
        </w:rPr>
        <w:t>Executive decision brief  |  January 2024 to December 2025</w:t>
      </w:r>
    </w:p>
    <w:tbl>
      <w:tblPr>
        <w:tblW w:type="auto" w:w="0"/>
        <w:jc w:val="center"/>
        <w:tblLayout w:type="fixed"/>
        <w:tblLook w:firstColumn="1" w:firstRow="1" w:lastColumn="0" w:lastRow="0" w:noHBand="0" w:noVBand="1" w:val="04A0"/>
      </w:tblPr>
      <w:tblGrid>
        <w:gridCol w:w="10224"/>
      </w:tblGrid>
      <w:tr>
        <w:tc>
          <w:tcPr>
            <w:tcW w:type="dxa" w:w="10282"/>
            <w:shd w:fill="EAF2F7"/>
            <w:tcMar>
              <w:top w:w="130" w:type="dxa"/>
              <w:start w:w="180" w:type="dxa"/>
              <w:bottom w:w="130" w:type="dxa"/>
              <w:end w:w="180" w:type="dxa"/>
            </w:tcMar>
            <w:tcBorders>
              <w:left w:val="single" w:sz="20" w:color="0E7490"/>
            </w:tcBorders>
          </w:tcPr>
          <w:p>
            <w:pPr>
              <w:spacing w:before="0" w:after="0" w:line="259" w:lineRule="auto"/>
            </w:pPr>
            <w:r>
              <w:rPr>
                <w:rFonts w:ascii="Aptos" w:hAnsi="Aptos"/>
                <w:b/>
                <w:color w:val="0E7490"/>
                <w:sz w:val="20"/>
              </w:rPr>
              <w:t xml:space="preserve">Executive takeaway  </w:t>
            </w:r>
            <w:r>
              <w:rPr>
                <w:rFonts w:ascii="Aptos" w:hAnsi="Aptos"/>
                <w:b w:val="0"/>
                <w:color w:val="202B35"/>
                <w:sz w:val="19"/>
              </w:rPr>
              <w:t>Protect Electronics order economics and test discount guardrails. The 42 loss-making orders all sit in Electronics; at the same time, the category remains profitable overall, so review transaction conditions before changing the assortment.</w:t>
            </w:r>
          </w:p>
        </w:tc>
      </w:tr>
    </w:tbl>
    <w:p>
      <w:pPr>
        <w:spacing w:before="160" w:after="80" w:line="240" w:lineRule="auto"/>
      </w:pPr>
      <w:r>
        <w:rPr>
          <w:rFonts w:ascii="Aptos" w:hAnsi="Aptos"/>
          <w:b/>
          <w:color w:val="17324D"/>
          <w:sz w:val="26"/>
        </w:rPr>
        <w:t>Performance snapshot</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2556"/>
            <w:vAlign w:val="center"/>
            <w:shd w:fill="F4F7FA"/>
            <w:tcMar>
              <w:top w:w="120" w:type="dxa"/>
              <w:start w:w="120" w:type="dxa"/>
              <w:bottom w:w="120" w:type="dxa"/>
              <w:end w:w="120" w:type="dxa"/>
            </w:tcMar>
            <w:tcBorders>
              <w:bottom w:val="single" w:sz="12" w:color="0E7490"/>
            </w:tcBorders>
          </w:tcPr>
          <w:p>
            <w:pPr>
              <w:spacing w:before="0" w:after="40" w:line="240" w:lineRule="auto"/>
              <w:jc w:val="center"/>
            </w:pPr>
            <w:r>
              <w:rPr>
                <w:rFonts w:ascii="Aptos" w:hAnsi="Aptos"/>
                <w:b/>
                <w:color w:val="5B6770"/>
                <w:sz w:val="16"/>
              </w:rPr>
              <w:t>NET SALES</w:t>
            </w:r>
          </w:p>
          <w:p>
            <w:pPr>
              <w:spacing w:before="0" w:after="40" w:line="240" w:lineRule="auto"/>
              <w:jc w:val="center"/>
            </w:pPr>
            <w:r>
              <w:rPr>
                <w:rFonts w:ascii="Aptos" w:hAnsi="Aptos"/>
                <w:b/>
                <w:color w:val="17324D"/>
                <w:sz w:val="30"/>
              </w:rPr>
              <w:t>₹61.56M</w:t>
            </w:r>
          </w:p>
          <w:p>
            <w:pPr>
              <w:spacing w:before="0" w:after="0" w:line="240" w:lineRule="auto"/>
              <w:jc w:val="center"/>
            </w:pPr>
            <w:r>
              <w:rPr>
                <w:rFonts w:ascii="Aptos" w:hAnsi="Aptos"/>
                <w:b w:val="0"/>
                <w:color w:val="5B6770"/>
                <w:sz w:val="14"/>
              </w:rPr>
              <w:t>₹61,561,351.66</w:t>
            </w:r>
          </w:p>
        </w:tc>
        <w:tc>
          <w:tcPr>
            <w:tcW w:type="dxa" w:w="2556"/>
            <w:vAlign w:val="center"/>
            <w:shd w:fill="F4F7FA"/>
            <w:tcMar>
              <w:top w:w="120" w:type="dxa"/>
              <w:start w:w="120" w:type="dxa"/>
              <w:bottom w:w="120" w:type="dxa"/>
              <w:end w:w="120" w:type="dxa"/>
            </w:tcMar>
            <w:tcBorders>
              <w:bottom w:val="single" w:sz="12" w:color="0E7490"/>
            </w:tcBorders>
          </w:tcPr>
          <w:p>
            <w:pPr>
              <w:spacing w:before="0" w:after="40" w:line="240" w:lineRule="auto"/>
              <w:jc w:val="center"/>
            </w:pPr>
            <w:r>
              <w:rPr>
                <w:rFonts w:ascii="Aptos" w:hAnsi="Aptos"/>
                <w:b/>
                <w:color w:val="5B6770"/>
                <w:sz w:val="16"/>
              </w:rPr>
              <w:t>TOTAL PROFIT</w:t>
            </w:r>
          </w:p>
          <w:p>
            <w:pPr>
              <w:spacing w:before="0" w:after="40" w:line="240" w:lineRule="auto"/>
              <w:jc w:val="center"/>
            </w:pPr>
            <w:r>
              <w:rPr>
                <w:rFonts w:ascii="Aptos" w:hAnsi="Aptos"/>
                <w:b/>
                <w:color w:val="17324D"/>
                <w:sz w:val="30"/>
              </w:rPr>
              <w:t>₹20.31M</w:t>
            </w:r>
          </w:p>
          <w:p>
            <w:pPr>
              <w:spacing w:before="0" w:after="0" w:line="240" w:lineRule="auto"/>
              <w:jc w:val="center"/>
            </w:pPr>
            <w:r>
              <w:rPr>
                <w:rFonts w:ascii="Aptos" w:hAnsi="Aptos"/>
                <w:b w:val="0"/>
                <w:color w:val="5B6770"/>
                <w:sz w:val="14"/>
              </w:rPr>
              <w:t>₹20,311,566.15</w:t>
            </w:r>
          </w:p>
        </w:tc>
        <w:tc>
          <w:tcPr>
            <w:tcW w:type="dxa" w:w="2556"/>
            <w:vAlign w:val="center"/>
            <w:shd w:fill="F4F7FA"/>
            <w:tcMar>
              <w:top w:w="120" w:type="dxa"/>
              <w:start w:w="120" w:type="dxa"/>
              <w:bottom w:w="120" w:type="dxa"/>
              <w:end w:w="120" w:type="dxa"/>
            </w:tcMar>
            <w:tcBorders>
              <w:bottom w:val="single" w:sz="12" w:color="0E7490"/>
            </w:tcBorders>
          </w:tcPr>
          <w:p>
            <w:pPr>
              <w:spacing w:before="0" w:after="40" w:line="240" w:lineRule="auto"/>
              <w:jc w:val="center"/>
            </w:pPr>
            <w:r>
              <w:rPr>
                <w:rFonts w:ascii="Aptos" w:hAnsi="Aptos"/>
                <w:b/>
                <w:color w:val="5B6770"/>
                <w:sz w:val="16"/>
              </w:rPr>
              <w:t>PROFIT MARGIN</w:t>
            </w:r>
          </w:p>
          <w:p>
            <w:pPr>
              <w:spacing w:before="0" w:after="40" w:line="240" w:lineRule="auto"/>
              <w:jc w:val="center"/>
            </w:pPr>
            <w:r>
              <w:rPr>
                <w:rFonts w:ascii="Aptos" w:hAnsi="Aptos"/>
                <w:b/>
                <w:color w:val="17324D"/>
                <w:sz w:val="30"/>
              </w:rPr>
              <w:t>32.99%</w:t>
            </w:r>
          </w:p>
          <w:p>
            <w:pPr>
              <w:spacing w:before="0" w:after="0" w:line="240" w:lineRule="auto"/>
              <w:jc w:val="center"/>
            </w:pPr>
            <w:r>
              <w:rPr>
                <w:rFonts w:ascii="Aptos" w:hAnsi="Aptos"/>
                <w:b w:val="0"/>
                <w:color w:val="5B6770"/>
                <w:sz w:val="14"/>
              </w:rPr>
              <w:t>Profit ÷ net sales</w:t>
            </w:r>
          </w:p>
        </w:tc>
        <w:tc>
          <w:tcPr>
            <w:tcW w:type="dxa" w:w="2556"/>
            <w:vAlign w:val="center"/>
            <w:shd w:fill="F4F7FA"/>
            <w:tcMar>
              <w:top w:w="120" w:type="dxa"/>
              <w:start w:w="120" w:type="dxa"/>
              <w:bottom w:w="120" w:type="dxa"/>
              <w:end w:w="120" w:type="dxa"/>
            </w:tcMar>
            <w:tcBorders>
              <w:bottom w:val="single" w:sz="12" w:color="0E7490"/>
            </w:tcBorders>
          </w:tcPr>
          <w:p>
            <w:pPr>
              <w:spacing w:before="0" w:after="40" w:line="240" w:lineRule="auto"/>
              <w:jc w:val="center"/>
            </w:pPr>
            <w:r>
              <w:rPr>
                <w:rFonts w:ascii="Aptos" w:hAnsi="Aptos"/>
                <w:b/>
                <w:color w:val="5B6770"/>
                <w:sz w:val="16"/>
              </w:rPr>
              <w:t>LOSS ORDERS</w:t>
            </w:r>
          </w:p>
          <w:p>
            <w:pPr>
              <w:spacing w:before="0" w:after="40" w:line="240" w:lineRule="auto"/>
              <w:jc w:val="center"/>
            </w:pPr>
            <w:r>
              <w:rPr>
                <w:rFonts w:ascii="Aptos" w:hAnsi="Aptos"/>
                <w:b/>
                <w:color w:val="17324D"/>
                <w:sz w:val="30"/>
              </w:rPr>
              <w:t>42</w:t>
            </w:r>
          </w:p>
          <w:p>
            <w:pPr>
              <w:spacing w:before="0" w:after="0" w:line="240" w:lineRule="auto"/>
              <w:jc w:val="center"/>
            </w:pPr>
            <w:r>
              <w:rPr>
                <w:rFonts w:ascii="Aptos" w:hAnsi="Aptos"/>
                <w:b w:val="0"/>
                <w:color w:val="5B6770"/>
                <w:sz w:val="14"/>
              </w:rPr>
              <w:t>Profit below zero</w:t>
            </w:r>
          </w:p>
        </w:tc>
      </w:tr>
    </w:tbl>
    <w:p>
      <w:pPr>
        <w:spacing w:before="160" w:after="80" w:line="240" w:lineRule="auto"/>
      </w:pPr>
      <w:r>
        <w:rPr>
          <w:rFonts w:ascii="Aptos" w:hAnsi="Aptos"/>
          <w:b/>
          <w:color w:val="17324D"/>
          <w:sz w:val="26"/>
        </w:rPr>
        <w:t>What the data shows</w:t>
      </w:r>
    </w:p>
    <w:p>
      <w:pPr>
        <w:pStyle w:val="ListBullet"/>
        <w:spacing w:before="0" w:after="60" w:line="252" w:lineRule="auto"/>
        <w:ind w:left="317" w:hanging="230"/>
      </w:pPr>
      <w:r>
        <w:rPr>
          <w:rFonts w:ascii="Aptos" w:hAnsi="Aptos"/>
          <w:b/>
          <w:color w:val="0E7490"/>
          <w:sz w:val="19"/>
        </w:rPr>
        <w:t xml:space="preserve">Electronics is the main review area. </w:t>
      </w:r>
      <w:r>
        <w:rPr>
          <w:rFonts w:ascii="Aptos" w:hAnsi="Aptos"/>
          <w:b w:val="0"/>
          <w:color w:val="202B35"/>
          <w:sz w:val="19"/>
        </w:rPr>
        <w:t>It contributes ₹28.33M in net sales (46.0% of total) at a 22.70% profit margin, the lowest of the four categories. All 42 loss-making orders are in this category.</w:t>
      </w:r>
    </w:p>
    <w:p>
      <w:pPr>
        <w:pStyle w:val="ListBullet"/>
        <w:spacing w:before="0" w:after="60" w:line="252" w:lineRule="auto"/>
        <w:ind w:left="317" w:hanging="230"/>
      </w:pPr>
      <w:r>
        <w:rPr>
          <w:rFonts w:ascii="Aptos" w:hAnsi="Aptos"/>
          <w:b/>
          <w:color w:val="0E7490"/>
          <w:sz w:val="19"/>
        </w:rPr>
        <w:t xml:space="preserve">Higher discounts coincide with lower margins. </w:t>
      </w:r>
      <w:r>
        <w:rPr>
          <w:rFonts w:ascii="Aptos" w:hAnsi="Aptos"/>
          <w:b w:val="0"/>
          <w:color w:val="202B35"/>
          <w:sz w:val="19"/>
        </w:rPr>
        <w:t>The highest discount quartile averaged 23.15% discount and 23.67% margin; the lowest quartile averaged 2.57% discount and 39.30% margin, a 15.63 percentage-point gap. The highest-discount group still earned ₹3.05M, so this is a pattern to test, not proof that discounts caused the gap.</w:t>
      </w:r>
    </w:p>
    <w:p>
      <w:pPr>
        <w:pStyle w:val="ListBullet"/>
        <w:spacing w:before="0" w:after="60" w:line="252" w:lineRule="auto"/>
        <w:ind w:left="317" w:hanging="230"/>
      </w:pPr>
      <w:r>
        <w:rPr>
          <w:rFonts w:ascii="Aptos" w:hAnsi="Aptos"/>
          <w:b/>
          <w:color w:val="0E7490"/>
          <w:sz w:val="19"/>
        </w:rPr>
        <w:t xml:space="preserve">Losses are concentrated in a few products. </w:t>
      </w:r>
      <w:r>
        <w:rPr>
          <w:rFonts w:ascii="Aptos" w:hAnsi="Aptos"/>
          <w:b w:val="0"/>
          <w:color w:val="202B35"/>
          <w:sz w:val="19"/>
        </w:rPr>
        <w:t>Mouse orders account for 13 losses, Headphones 10, Keyboard 8, Bluetooth Speaker 8, and Monitor 3. Each product is profitable in aggregate, which points to specific order conditions for review.</w:t>
      </w:r>
    </w:p>
    <w:tbl>
      <w:tblPr>
        <w:tblW w:type="auto" w:w="0"/>
        <w:jc w:val="center"/>
        <w:tblLayout w:type="fixed"/>
        <w:tblLook w:firstColumn="1" w:firstRow="1" w:lastColumn="0" w:lastRow="0" w:noHBand="0" w:noVBand="1" w:val="04A0"/>
      </w:tblPr>
      <w:tblGrid>
        <w:gridCol w:w="2952"/>
        <w:gridCol w:w="1469"/>
        <w:gridCol w:w="2952"/>
        <w:gridCol w:w="2160"/>
      </w:tblGrid>
      <w:tr>
        <w:trPr>
          <w:tblHeader w:val="true"/>
        </w:trPr>
        <w:tc>
          <w:tcPr>
            <w:tcW w:type="dxa" w:w="2952"/>
            <w:shd w:fill="17324D"/>
            <w:tcMar>
              <w:top w:w="65" w:type="dxa"/>
              <w:start w:w="100" w:type="dxa"/>
              <w:bottom w:w="65" w:type="dxa"/>
              <w:end w:w="100" w:type="dxa"/>
            </w:tcMar>
          </w:tcPr>
          <w:p>
            <w:pPr>
              <w:spacing w:before="0" w:after="0" w:line="240" w:lineRule="auto"/>
            </w:pPr>
            <w:r>
              <w:rPr>
                <w:rFonts w:ascii="Aptos" w:hAnsi="Aptos"/>
                <w:b/>
                <w:color w:val="FFFFFF"/>
                <w:sz w:val="16"/>
              </w:rPr>
              <w:t>Product</w:t>
            </w:r>
          </w:p>
        </w:tc>
        <w:tc>
          <w:tcPr>
            <w:tcW w:type="dxa" w:w="1469"/>
            <w:shd w:fill="17324D"/>
            <w:tcMar>
              <w:top w:w="65" w:type="dxa"/>
              <w:start w:w="100" w:type="dxa"/>
              <w:bottom w:w="65" w:type="dxa"/>
              <w:end w:w="100" w:type="dxa"/>
            </w:tcMar>
          </w:tcPr>
          <w:p>
            <w:pPr>
              <w:spacing w:before="0" w:after="0" w:line="240" w:lineRule="auto"/>
            </w:pPr>
            <w:r>
              <w:rPr>
                <w:rFonts w:ascii="Aptos" w:hAnsi="Aptos"/>
                <w:b/>
                <w:color w:val="FFFFFF"/>
                <w:sz w:val="16"/>
              </w:rPr>
              <w:t>Loss orders</w:t>
            </w:r>
          </w:p>
        </w:tc>
        <w:tc>
          <w:tcPr>
            <w:tcW w:type="dxa" w:w="2952"/>
            <w:shd w:fill="17324D"/>
            <w:tcMar>
              <w:top w:w="65" w:type="dxa"/>
              <w:start w:w="100" w:type="dxa"/>
              <w:bottom w:w="65" w:type="dxa"/>
              <w:end w:w="100" w:type="dxa"/>
            </w:tcMar>
          </w:tcPr>
          <w:p>
            <w:pPr>
              <w:spacing w:before="0" w:after="0" w:line="240" w:lineRule="auto"/>
            </w:pPr>
            <w:r>
              <w:rPr>
                <w:rFonts w:ascii="Aptos" w:hAnsi="Aptos"/>
                <w:b/>
                <w:color w:val="FFFFFF"/>
                <w:sz w:val="16"/>
              </w:rPr>
              <w:t>Product profit</w:t>
            </w:r>
          </w:p>
        </w:tc>
        <w:tc>
          <w:tcPr>
            <w:tcW w:type="dxa" w:w="2160"/>
            <w:shd w:fill="17324D"/>
            <w:tcMar>
              <w:top w:w="65" w:type="dxa"/>
              <w:start w:w="100" w:type="dxa"/>
              <w:bottom w:w="65" w:type="dxa"/>
              <w:end w:w="100" w:type="dxa"/>
            </w:tcMar>
          </w:tcPr>
          <w:p>
            <w:pPr>
              <w:spacing w:before="0" w:after="0" w:line="240" w:lineRule="auto"/>
            </w:pPr>
            <w:r>
              <w:rPr>
                <w:rFonts w:ascii="Aptos" w:hAnsi="Aptos"/>
                <w:b/>
                <w:color w:val="FFFFFF"/>
                <w:sz w:val="16"/>
              </w:rPr>
              <w:t>Avg discount</w:t>
            </w:r>
          </w:p>
        </w:tc>
      </w:tr>
      <w:tr>
        <w:tc>
          <w:tcPr>
            <w:tcW w:type="dxa" w:w="2952"/>
            <w:tcMar>
              <w:top w:w="45" w:type="dxa"/>
              <w:start w:w="100" w:type="dxa"/>
              <w:bottom w:w="45" w:type="dxa"/>
              <w:end w:w="100" w:type="dxa"/>
            </w:tcMar>
          </w:tcPr>
          <w:p>
            <w:pPr>
              <w:spacing w:before="0" w:after="0" w:line="240" w:lineRule="auto"/>
            </w:pPr>
            <w:r>
              <w:rPr>
                <w:rFonts w:ascii="Aptos" w:hAnsi="Aptos"/>
                <w:b w:val="0"/>
                <w:color w:val="202B35"/>
                <w:sz w:val="16"/>
              </w:rPr>
              <w:t>Mouse</w:t>
            </w:r>
          </w:p>
        </w:tc>
        <w:tc>
          <w:tcPr>
            <w:tcW w:type="dxa" w:w="1469"/>
            <w:tcMar>
              <w:top w:w="45" w:type="dxa"/>
              <w:start w:w="100" w:type="dxa"/>
              <w:bottom w:w="45" w:type="dxa"/>
              <w:end w:w="100" w:type="dxa"/>
            </w:tcMar>
          </w:tcPr>
          <w:p>
            <w:pPr>
              <w:spacing w:before="0" w:after="0" w:line="240" w:lineRule="auto"/>
              <w:jc w:val="right"/>
            </w:pPr>
            <w:r>
              <w:rPr>
                <w:rFonts w:ascii="Aptos" w:hAnsi="Aptos"/>
                <w:b/>
                <w:color w:val="202B35"/>
                <w:sz w:val="16"/>
              </w:rPr>
              <w:t>13</w:t>
            </w:r>
          </w:p>
        </w:tc>
        <w:tc>
          <w:tcPr>
            <w:tcW w:type="dxa" w:w="2952"/>
            <w:tcMar>
              <w:top w:w="45" w:type="dxa"/>
              <w:start w:w="100" w:type="dxa"/>
              <w:bottom w:w="45" w:type="dxa"/>
              <w:end w:w="100" w:type="dxa"/>
            </w:tcMar>
          </w:tcPr>
          <w:p>
            <w:pPr>
              <w:spacing w:before="0" w:after="0" w:line="240" w:lineRule="auto"/>
              <w:jc w:val="right"/>
            </w:pPr>
            <w:r>
              <w:rPr>
                <w:rFonts w:ascii="Aptos" w:hAnsi="Aptos"/>
                <w:b w:val="0"/>
                <w:color w:val="202B35"/>
                <w:sz w:val="16"/>
              </w:rPr>
              <w:t>₹285,094</w:t>
            </w:r>
          </w:p>
        </w:tc>
        <w:tc>
          <w:tcPr>
            <w:tcW w:type="dxa" w:w="2160"/>
            <w:tcMar>
              <w:top w:w="45" w:type="dxa"/>
              <w:start w:w="100" w:type="dxa"/>
              <w:bottom w:w="45" w:type="dxa"/>
              <w:end w:w="100" w:type="dxa"/>
            </w:tcMar>
          </w:tcPr>
          <w:p>
            <w:pPr>
              <w:spacing w:before="0" w:after="0" w:line="240" w:lineRule="auto"/>
              <w:jc w:val="right"/>
            </w:pPr>
            <w:r>
              <w:rPr>
                <w:rFonts w:ascii="Aptos" w:hAnsi="Aptos"/>
                <w:b w:val="0"/>
                <w:color w:val="202B35"/>
                <w:sz w:val="16"/>
              </w:rPr>
              <w:t>11.99%</w:t>
            </w:r>
          </w:p>
        </w:tc>
      </w:tr>
      <w:tr>
        <w:tc>
          <w:tcPr>
            <w:tcW w:type="dxa" w:w="2952"/>
            <w:tcMar>
              <w:top w:w="45" w:type="dxa"/>
              <w:start w:w="100" w:type="dxa"/>
              <w:bottom w:w="45" w:type="dxa"/>
              <w:end w:w="100" w:type="dxa"/>
            </w:tcMar>
            <w:shd w:fill="F4F7FA"/>
          </w:tcPr>
          <w:p>
            <w:pPr>
              <w:spacing w:before="0" w:after="0" w:line="240" w:lineRule="auto"/>
            </w:pPr>
            <w:r>
              <w:rPr>
                <w:rFonts w:ascii="Aptos" w:hAnsi="Aptos"/>
                <w:b w:val="0"/>
                <w:color w:val="202B35"/>
                <w:sz w:val="16"/>
              </w:rPr>
              <w:t>Headphones</w:t>
            </w:r>
          </w:p>
        </w:tc>
        <w:tc>
          <w:tcPr>
            <w:tcW w:type="dxa" w:w="1469"/>
            <w:tcMar>
              <w:top w:w="45" w:type="dxa"/>
              <w:start w:w="100" w:type="dxa"/>
              <w:bottom w:w="45" w:type="dxa"/>
              <w:end w:w="100" w:type="dxa"/>
            </w:tcMar>
            <w:shd w:fill="F4F7FA"/>
          </w:tcPr>
          <w:p>
            <w:pPr>
              <w:spacing w:before="0" w:after="0" w:line="240" w:lineRule="auto"/>
              <w:jc w:val="right"/>
            </w:pPr>
            <w:r>
              <w:rPr>
                <w:rFonts w:ascii="Aptos" w:hAnsi="Aptos"/>
                <w:b/>
                <w:color w:val="202B35"/>
                <w:sz w:val="16"/>
              </w:rPr>
              <w:t>10</w:t>
            </w:r>
          </w:p>
        </w:tc>
        <w:tc>
          <w:tcPr>
            <w:tcW w:type="dxa" w:w="2952"/>
            <w:tcMar>
              <w:top w:w="45" w:type="dxa"/>
              <w:start w:w="100" w:type="dxa"/>
              <w:bottom w:w="45" w:type="dxa"/>
              <w:end w:w="100" w:type="dxa"/>
            </w:tcMar>
            <w:shd w:fill="F4F7FA"/>
          </w:tcPr>
          <w:p>
            <w:pPr>
              <w:spacing w:before="0" w:after="0" w:line="240" w:lineRule="auto"/>
              <w:jc w:val="right"/>
            </w:pPr>
            <w:r>
              <w:rPr>
                <w:rFonts w:ascii="Aptos" w:hAnsi="Aptos"/>
                <w:b w:val="0"/>
                <w:color w:val="202B35"/>
                <w:sz w:val="16"/>
              </w:rPr>
              <w:t>₹752,608</w:t>
            </w:r>
          </w:p>
        </w:tc>
        <w:tc>
          <w:tcPr>
            <w:tcW w:type="dxa" w:w="2160"/>
            <w:tcMar>
              <w:top w:w="45" w:type="dxa"/>
              <w:start w:w="100" w:type="dxa"/>
              <w:bottom w:w="45" w:type="dxa"/>
              <w:end w:w="100" w:type="dxa"/>
            </w:tcMar>
            <w:shd w:fill="F4F7FA"/>
          </w:tcPr>
          <w:p>
            <w:pPr>
              <w:spacing w:before="0" w:after="0" w:line="240" w:lineRule="auto"/>
              <w:jc w:val="right"/>
            </w:pPr>
            <w:r>
              <w:rPr>
                <w:rFonts w:ascii="Aptos" w:hAnsi="Aptos"/>
                <w:b w:val="0"/>
                <w:color w:val="202B35"/>
                <w:sz w:val="16"/>
              </w:rPr>
              <w:t>12.61%</w:t>
            </w:r>
          </w:p>
        </w:tc>
      </w:tr>
      <w:tr>
        <w:tc>
          <w:tcPr>
            <w:tcW w:type="dxa" w:w="2952"/>
            <w:tcMar>
              <w:top w:w="45" w:type="dxa"/>
              <w:start w:w="100" w:type="dxa"/>
              <w:bottom w:w="45" w:type="dxa"/>
              <w:end w:w="100" w:type="dxa"/>
            </w:tcMar>
          </w:tcPr>
          <w:p>
            <w:pPr>
              <w:spacing w:before="0" w:after="0" w:line="240" w:lineRule="auto"/>
            </w:pPr>
            <w:r>
              <w:rPr>
                <w:rFonts w:ascii="Aptos" w:hAnsi="Aptos"/>
                <w:b w:val="0"/>
                <w:color w:val="202B35"/>
                <w:sz w:val="16"/>
              </w:rPr>
              <w:t>Keyboard</w:t>
            </w:r>
          </w:p>
        </w:tc>
        <w:tc>
          <w:tcPr>
            <w:tcW w:type="dxa" w:w="1469"/>
            <w:tcMar>
              <w:top w:w="45" w:type="dxa"/>
              <w:start w:w="100" w:type="dxa"/>
              <w:bottom w:w="45" w:type="dxa"/>
              <w:end w:w="100" w:type="dxa"/>
            </w:tcMar>
          </w:tcPr>
          <w:p>
            <w:pPr>
              <w:spacing w:before="0" w:after="0" w:line="240" w:lineRule="auto"/>
              <w:jc w:val="right"/>
            </w:pPr>
            <w:r>
              <w:rPr>
                <w:rFonts w:ascii="Aptos" w:hAnsi="Aptos"/>
                <w:b/>
                <w:color w:val="202B35"/>
                <w:sz w:val="16"/>
              </w:rPr>
              <w:t>8</w:t>
            </w:r>
          </w:p>
        </w:tc>
        <w:tc>
          <w:tcPr>
            <w:tcW w:type="dxa" w:w="2952"/>
            <w:tcMar>
              <w:top w:w="45" w:type="dxa"/>
              <w:start w:w="100" w:type="dxa"/>
              <w:bottom w:w="45" w:type="dxa"/>
              <w:end w:w="100" w:type="dxa"/>
            </w:tcMar>
          </w:tcPr>
          <w:p>
            <w:pPr>
              <w:spacing w:before="0" w:after="0" w:line="240" w:lineRule="auto"/>
              <w:jc w:val="right"/>
            </w:pPr>
            <w:r>
              <w:rPr>
                <w:rFonts w:ascii="Aptos" w:hAnsi="Aptos"/>
                <w:b w:val="0"/>
                <w:color w:val="202B35"/>
                <w:sz w:val="16"/>
              </w:rPr>
              <w:t>₹458,917</w:t>
            </w:r>
          </w:p>
        </w:tc>
        <w:tc>
          <w:tcPr>
            <w:tcW w:type="dxa" w:w="2160"/>
            <w:tcMar>
              <w:top w:w="45" w:type="dxa"/>
              <w:start w:w="100" w:type="dxa"/>
              <w:bottom w:w="45" w:type="dxa"/>
              <w:end w:w="100" w:type="dxa"/>
            </w:tcMar>
          </w:tcPr>
          <w:p>
            <w:pPr>
              <w:spacing w:before="0" w:after="0" w:line="240" w:lineRule="auto"/>
              <w:jc w:val="right"/>
            </w:pPr>
            <w:r>
              <w:rPr>
                <w:rFonts w:ascii="Aptos" w:hAnsi="Aptos"/>
                <w:b w:val="0"/>
                <w:color w:val="202B35"/>
                <w:sz w:val="16"/>
              </w:rPr>
              <w:t>12.73%</w:t>
            </w:r>
          </w:p>
        </w:tc>
      </w:tr>
      <w:tr>
        <w:tc>
          <w:tcPr>
            <w:tcW w:type="dxa" w:w="2952"/>
            <w:tcMar>
              <w:top w:w="45" w:type="dxa"/>
              <w:start w:w="100" w:type="dxa"/>
              <w:bottom w:w="45" w:type="dxa"/>
              <w:end w:w="100" w:type="dxa"/>
            </w:tcMar>
            <w:shd w:fill="F4F7FA"/>
          </w:tcPr>
          <w:p>
            <w:pPr>
              <w:spacing w:before="0" w:after="0" w:line="240" w:lineRule="auto"/>
            </w:pPr>
            <w:r>
              <w:rPr>
                <w:rFonts w:ascii="Aptos" w:hAnsi="Aptos"/>
                <w:b w:val="0"/>
                <w:color w:val="202B35"/>
                <w:sz w:val="16"/>
              </w:rPr>
              <w:t>Bluetooth Speaker</w:t>
            </w:r>
          </w:p>
        </w:tc>
        <w:tc>
          <w:tcPr>
            <w:tcW w:type="dxa" w:w="1469"/>
            <w:tcMar>
              <w:top w:w="45" w:type="dxa"/>
              <w:start w:w="100" w:type="dxa"/>
              <w:bottom w:w="45" w:type="dxa"/>
              <w:end w:w="100" w:type="dxa"/>
            </w:tcMar>
            <w:shd w:fill="F4F7FA"/>
          </w:tcPr>
          <w:p>
            <w:pPr>
              <w:spacing w:before="0" w:after="0" w:line="240" w:lineRule="auto"/>
              <w:jc w:val="right"/>
            </w:pPr>
            <w:r>
              <w:rPr>
                <w:rFonts w:ascii="Aptos" w:hAnsi="Aptos"/>
                <w:b/>
                <w:color w:val="202B35"/>
                <w:sz w:val="16"/>
              </w:rPr>
              <w:t>8</w:t>
            </w:r>
          </w:p>
        </w:tc>
        <w:tc>
          <w:tcPr>
            <w:tcW w:type="dxa" w:w="2952"/>
            <w:tcMar>
              <w:top w:w="45" w:type="dxa"/>
              <w:start w:w="100" w:type="dxa"/>
              <w:bottom w:w="45" w:type="dxa"/>
              <w:end w:w="100" w:type="dxa"/>
            </w:tcMar>
            <w:shd w:fill="F4F7FA"/>
          </w:tcPr>
          <w:p>
            <w:pPr>
              <w:spacing w:before="0" w:after="0" w:line="240" w:lineRule="auto"/>
              <w:jc w:val="right"/>
            </w:pPr>
            <w:r>
              <w:rPr>
                <w:rFonts w:ascii="Aptos" w:hAnsi="Aptos"/>
                <w:b w:val="0"/>
                <w:color w:val="202B35"/>
                <w:sz w:val="16"/>
              </w:rPr>
              <w:t>₹985,610</w:t>
            </w:r>
          </w:p>
        </w:tc>
        <w:tc>
          <w:tcPr>
            <w:tcW w:type="dxa" w:w="2160"/>
            <w:tcMar>
              <w:top w:w="45" w:type="dxa"/>
              <w:start w:w="100" w:type="dxa"/>
              <w:bottom w:w="45" w:type="dxa"/>
              <w:end w:w="100" w:type="dxa"/>
            </w:tcMar>
            <w:shd w:fill="F4F7FA"/>
          </w:tcPr>
          <w:p>
            <w:pPr>
              <w:spacing w:before="0" w:after="0" w:line="240" w:lineRule="auto"/>
              <w:jc w:val="right"/>
            </w:pPr>
            <w:r>
              <w:rPr>
                <w:rFonts w:ascii="Aptos" w:hAnsi="Aptos"/>
                <w:b w:val="0"/>
                <w:color w:val="202B35"/>
                <w:sz w:val="16"/>
              </w:rPr>
              <w:t>12.14%</w:t>
            </w:r>
          </w:p>
        </w:tc>
      </w:tr>
      <w:tr>
        <w:tc>
          <w:tcPr>
            <w:tcW w:type="dxa" w:w="2952"/>
            <w:tcMar>
              <w:top w:w="45" w:type="dxa"/>
              <w:start w:w="100" w:type="dxa"/>
              <w:bottom w:w="45" w:type="dxa"/>
              <w:end w:w="100" w:type="dxa"/>
            </w:tcMar>
          </w:tcPr>
          <w:p>
            <w:pPr>
              <w:spacing w:before="0" w:after="0" w:line="240" w:lineRule="auto"/>
            </w:pPr>
            <w:r>
              <w:rPr>
                <w:rFonts w:ascii="Aptos" w:hAnsi="Aptos"/>
                <w:b w:val="0"/>
                <w:color w:val="202B35"/>
                <w:sz w:val="16"/>
              </w:rPr>
              <w:t>Monitor</w:t>
            </w:r>
          </w:p>
        </w:tc>
        <w:tc>
          <w:tcPr>
            <w:tcW w:type="dxa" w:w="1469"/>
            <w:tcMar>
              <w:top w:w="45" w:type="dxa"/>
              <w:start w:w="100" w:type="dxa"/>
              <w:bottom w:w="45" w:type="dxa"/>
              <w:end w:w="100" w:type="dxa"/>
            </w:tcMar>
          </w:tcPr>
          <w:p>
            <w:pPr>
              <w:spacing w:before="0" w:after="0" w:line="240" w:lineRule="auto"/>
              <w:jc w:val="right"/>
            </w:pPr>
            <w:r>
              <w:rPr>
                <w:rFonts w:ascii="Aptos" w:hAnsi="Aptos"/>
                <w:b/>
                <w:color w:val="202B35"/>
                <w:sz w:val="16"/>
              </w:rPr>
              <w:t>3</w:t>
            </w:r>
          </w:p>
        </w:tc>
        <w:tc>
          <w:tcPr>
            <w:tcW w:type="dxa" w:w="2952"/>
            <w:tcMar>
              <w:top w:w="45" w:type="dxa"/>
              <w:start w:w="100" w:type="dxa"/>
              <w:bottom w:w="45" w:type="dxa"/>
              <w:end w:w="100" w:type="dxa"/>
            </w:tcMar>
          </w:tcPr>
          <w:p>
            <w:pPr>
              <w:spacing w:before="0" w:after="0" w:line="240" w:lineRule="auto"/>
              <w:jc w:val="right"/>
            </w:pPr>
            <w:r>
              <w:rPr>
                <w:rFonts w:ascii="Aptos" w:hAnsi="Aptos"/>
                <w:b w:val="0"/>
                <w:color w:val="202B35"/>
                <w:sz w:val="16"/>
              </w:rPr>
              <w:t>₹390,516</w:t>
            </w:r>
          </w:p>
        </w:tc>
        <w:tc>
          <w:tcPr>
            <w:tcW w:type="dxa" w:w="2160"/>
            <w:tcMar>
              <w:top w:w="45" w:type="dxa"/>
              <w:start w:w="100" w:type="dxa"/>
              <w:bottom w:w="45" w:type="dxa"/>
              <w:end w:w="100" w:type="dxa"/>
            </w:tcMar>
          </w:tcPr>
          <w:p>
            <w:pPr>
              <w:spacing w:before="0" w:after="0" w:line="240" w:lineRule="auto"/>
              <w:jc w:val="right"/>
            </w:pPr>
            <w:r>
              <w:rPr>
                <w:rFonts w:ascii="Aptos" w:hAnsi="Aptos"/>
                <w:b w:val="0"/>
                <w:color w:val="202B35"/>
                <w:sz w:val="16"/>
              </w:rPr>
              <w:t>11.56%</w:t>
            </w:r>
          </w:p>
        </w:tc>
      </w:tr>
    </w:tbl>
    <w:p>
      <w:pPr>
        <w:spacing w:before="80" w:after="0" w:line="240" w:lineRule="auto"/>
      </w:pPr>
      <w:r>
        <w:rPr>
          <w:rFonts w:ascii="Aptos" w:hAnsi="Aptos"/>
          <w:b w:val="0"/>
          <w:color w:val="5B6770"/>
          <w:sz w:val="15"/>
        </w:rPr>
        <w:t>Dataset: 15,000 transactions across 24 months. KPI totals reconcile to the Tableau dashboard. Loss order = transaction with Profit &lt; 0.</w:t>
      </w:r>
    </w:p>
    <w:p>
      <w:r>
        <w:br w:type="page"/>
      </w:r>
    </w:p>
    <w:p>
      <w:pPr>
        <w:pStyle w:val="Title"/>
        <w:spacing w:before="0" w:after="0" w:line="240" w:lineRule="auto"/>
      </w:pPr>
      <w:r>
        <w:rPr>
          <w:rFonts w:ascii="Aptos" w:hAnsi="Aptos"/>
          <w:b/>
          <w:color w:val="000000"/>
          <w:sz w:val="42"/>
        </w:rPr>
        <w:t>Recommended actions</w:t>
      </w:r>
    </w:p>
    <w:p>
      <w:pPr>
        <w:pStyle w:val="Subtitle"/>
        <w:spacing w:before="20" w:after="160" w:line="240" w:lineRule="auto"/>
      </w:pPr>
      <w:r>
        <w:rPr>
          <w:rFonts w:ascii="Aptos" w:hAnsi="Aptos"/>
          <w:b w:val="0"/>
          <w:color w:val="5B6770"/>
          <w:sz w:val="19"/>
        </w:rPr>
        <w:t>A focused 30-day review and controlled pilot</w:t>
      </w:r>
    </w:p>
    <w:p>
      <w:pPr>
        <w:spacing w:before="0" w:after="120" w:line="259" w:lineRule="auto"/>
      </w:pPr>
      <w:r>
        <w:rPr>
          <w:rFonts w:ascii="Aptos" w:hAnsi="Aptos"/>
          <w:b w:val="0"/>
          <w:color w:val="202B35"/>
          <w:sz w:val="19"/>
        </w:rPr>
        <w:t>Use the current dashboard as the baseline, then work from order-level exceptions. Keep the overall 32.99% margin and the Electronics margin visible while testing changes.</w:t>
      </w:r>
    </w:p>
    <w:tbl>
      <w:tblPr>
        <w:tblW w:type="auto" w:w="0"/>
        <w:jc w:val="center"/>
        <w:tblLayout w:type="fixed"/>
        <w:tblLook w:firstColumn="1" w:firstRow="1" w:lastColumn="0" w:lastRow="0" w:noHBand="0" w:noVBand="1" w:val="04A0"/>
      </w:tblPr>
      <w:tblGrid>
        <w:gridCol w:w="2045"/>
        <w:gridCol w:w="5443"/>
        <w:gridCol w:w="2045"/>
      </w:tblGrid>
      <w:tr>
        <w:trPr>
          <w:tblHeader w:val="true"/>
        </w:trPr>
        <w:tc>
          <w:tcPr>
            <w:tcW w:type="dxa" w:w="2045"/>
            <w:shd w:fill="17324D"/>
            <w:tcMar>
              <w:top w:w="80" w:type="dxa"/>
              <w:start w:w="100" w:type="dxa"/>
              <w:bottom w:w="80" w:type="dxa"/>
              <w:end w:w="100" w:type="dxa"/>
            </w:tcMar>
          </w:tcPr>
          <w:p>
            <w:pPr>
              <w:spacing w:before="0" w:after="0" w:line="240" w:lineRule="auto"/>
            </w:pPr>
            <w:r>
              <w:rPr>
                <w:rFonts w:ascii="Aptos" w:hAnsi="Aptos"/>
                <w:b/>
                <w:color w:val="FFFFFF"/>
                <w:sz w:val="16"/>
              </w:rPr>
              <w:t>Timing and owner</w:t>
            </w:r>
          </w:p>
        </w:tc>
        <w:tc>
          <w:tcPr>
            <w:tcW w:type="dxa" w:w="5443"/>
            <w:shd w:fill="17324D"/>
            <w:tcMar>
              <w:top w:w="80" w:type="dxa"/>
              <w:start w:w="100" w:type="dxa"/>
              <w:bottom w:w="80" w:type="dxa"/>
              <w:end w:w="100" w:type="dxa"/>
            </w:tcMar>
          </w:tcPr>
          <w:p>
            <w:pPr>
              <w:spacing w:before="0" w:after="0" w:line="240" w:lineRule="auto"/>
            </w:pPr>
            <w:r>
              <w:rPr>
                <w:rFonts w:ascii="Aptos" w:hAnsi="Aptos"/>
                <w:b/>
                <w:color w:val="FFFFFF"/>
                <w:sz w:val="16"/>
              </w:rPr>
              <w:t>Action</w:t>
            </w:r>
          </w:p>
        </w:tc>
        <w:tc>
          <w:tcPr>
            <w:tcW w:type="dxa" w:w="2045"/>
            <w:shd w:fill="17324D"/>
            <w:tcMar>
              <w:top w:w="80" w:type="dxa"/>
              <w:start w:w="100" w:type="dxa"/>
              <w:bottom w:w="80" w:type="dxa"/>
              <w:end w:w="100" w:type="dxa"/>
            </w:tcMar>
          </w:tcPr>
          <w:p>
            <w:pPr>
              <w:spacing w:before="0" w:after="0" w:line="240" w:lineRule="auto"/>
            </w:pPr>
            <w:r>
              <w:rPr>
                <w:rFonts w:ascii="Aptos" w:hAnsi="Aptos"/>
                <w:b/>
                <w:color w:val="FFFFFF"/>
                <w:sz w:val="16"/>
              </w:rPr>
              <w:t>Measure of success</w:t>
            </w:r>
          </w:p>
        </w:tc>
      </w:tr>
      <w:tr>
        <w:tc>
          <w:tcPr>
            <w:tcW w:type="dxa" w:w="2045"/>
            <w:vAlign w:val="top"/>
            <w:tcMar>
              <w:top w:w="85" w:type="dxa"/>
              <w:start w:w="100" w:type="dxa"/>
              <w:bottom w:w="85" w:type="dxa"/>
              <w:end w:w="100" w:type="dxa"/>
            </w:tcMar>
          </w:tcPr>
          <w:p>
            <w:pPr>
              <w:spacing w:before="0" w:after="0" w:line="254" w:lineRule="auto"/>
            </w:pPr>
            <w:r>
              <w:rPr>
                <w:rFonts w:ascii="Aptos" w:hAnsi="Aptos"/>
                <w:b/>
                <w:color w:val="0E7490"/>
                <w:sz w:val="16"/>
              </w:rPr>
              <w:t>Weeks 1–2</w:t>
              <w:br/>
              <w:t>Pricing + Finance</w:t>
            </w:r>
          </w:p>
        </w:tc>
        <w:tc>
          <w:tcPr>
            <w:tcW w:type="dxa" w:w="5443"/>
            <w:vAlign w:val="top"/>
            <w:tcMar>
              <w:top w:w="85" w:type="dxa"/>
              <w:start w:w="100" w:type="dxa"/>
              <w:bottom w:w="85" w:type="dxa"/>
              <w:end w:w="100" w:type="dxa"/>
            </w:tcMar>
          </w:tcPr>
          <w:p>
            <w:pPr>
              <w:spacing w:before="0" w:after="0" w:line="254" w:lineRule="auto"/>
            </w:pPr>
            <w:r>
              <w:rPr>
                <w:rFonts w:ascii="Aptos" w:hAnsi="Aptos"/>
                <w:b w:val="0"/>
                <w:color w:val="202B35"/>
                <w:sz w:val="16"/>
              </w:rPr>
              <w:t>Review all 42 loss orders by product, discount, region, channel, quantity, and unit cost. Tag each with a reason (for example: promotion, price override, cost mismatch, or data issue).</w:t>
            </w:r>
          </w:p>
        </w:tc>
        <w:tc>
          <w:tcPr>
            <w:tcW w:type="dxa" w:w="2045"/>
            <w:vAlign w:val="top"/>
            <w:tcMar>
              <w:top w:w="85" w:type="dxa"/>
              <w:start w:w="100" w:type="dxa"/>
              <w:bottom w:w="85" w:type="dxa"/>
              <w:end w:w="100" w:type="dxa"/>
            </w:tcMar>
          </w:tcPr>
          <w:p>
            <w:pPr>
              <w:spacing w:before="0" w:after="0" w:line="254" w:lineRule="auto"/>
            </w:pPr>
            <w:r>
              <w:rPr>
                <w:rFonts w:ascii="Aptos" w:hAnsi="Aptos"/>
                <w:b w:val="0"/>
                <w:color w:val="202B35"/>
                <w:sz w:val="16"/>
              </w:rPr>
              <w:t>All 42 orders classified; estimated avoidable loss quantified.</w:t>
            </w:r>
          </w:p>
        </w:tc>
      </w:tr>
      <w:tr>
        <w:tc>
          <w:tcPr>
            <w:tcW w:type="dxa" w:w="2045"/>
            <w:vAlign w:val="top"/>
            <w:tcMar>
              <w:top w:w="85" w:type="dxa"/>
              <w:start w:w="100" w:type="dxa"/>
              <w:bottom w:w="85" w:type="dxa"/>
              <w:end w:w="100" w:type="dxa"/>
            </w:tcMar>
            <w:shd w:fill="F4F7FA"/>
          </w:tcPr>
          <w:p>
            <w:pPr>
              <w:spacing w:before="0" w:after="0" w:line="254" w:lineRule="auto"/>
            </w:pPr>
            <w:r>
              <w:rPr>
                <w:rFonts w:ascii="Aptos" w:hAnsi="Aptos"/>
                <w:b/>
                <w:color w:val="0E7490"/>
                <w:sz w:val="16"/>
              </w:rPr>
              <w:t>Weeks 2–4</w:t>
              <w:br/>
              <w:t>Commercial + Pricing</w:t>
            </w:r>
          </w:p>
        </w:tc>
        <w:tc>
          <w:tcPr>
            <w:tcW w:type="dxa" w:w="5443"/>
            <w:vAlign w:val="top"/>
            <w:tcMar>
              <w:top w:w="85" w:type="dxa"/>
              <w:start w:w="100" w:type="dxa"/>
              <w:bottom w:w="85" w:type="dxa"/>
              <w:end w:w="100" w:type="dxa"/>
            </w:tcMar>
            <w:shd w:fill="F4F7FA"/>
          </w:tcPr>
          <w:p>
            <w:pPr>
              <w:spacing w:before="0" w:after="0" w:line="254" w:lineRule="auto"/>
            </w:pPr>
            <w:r>
              <w:rPr>
                <w:rFonts w:ascii="Aptos" w:hAnsi="Aptos"/>
                <w:b w:val="0"/>
                <w:color w:val="202B35"/>
                <w:sz w:val="16"/>
              </w:rPr>
              <w:t>Run a controlled Electronics promotion test with a lower discount tier or approval step for deeper discounts. Compare with a matched baseline and include conversion as well as profit.</w:t>
            </w:r>
          </w:p>
        </w:tc>
        <w:tc>
          <w:tcPr>
            <w:tcW w:type="dxa" w:w="2045"/>
            <w:vAlign w:val="top"/>
            <w:tcMar>
              <w:top w:w="85" w:type="dxa"/>
              <w:start w:w="100" w:type="dxa"/>
              <w:bottom w:w="85" w:type="dxa"/>
              <w:end w:w="100" w:type="dxa"/>
            </w:tcMar>
            <w:shd w:fill="F4F7FA"/>
          </w:tcPr>
          <w:p>
            <w:pPr>
              <w:spacing w:before="0" w:after="0" w:line="254" w:lineRule="auto"/>
            </w:pPr>
            <w:r>
              <w:rPr>
                <w:rFonts w:ascii="Aptos" w:hAnsi="Aptos"/>
                <w:b w:val="0"/>
                <w:color w:val="202B35"/>
                <w:sz w:val="16"/>
              </w:rPr>
              <w:t>Improve profit per order and margin without an unacceptable conversion decline.</w:t>
            </w:r>
          </w:p>
        </w:tc>
      </w:tr>
      <w:tr>
        <w:tc>
          <w:tcPr>
            <w:tcW w:type="dxa" w:w="2045"/>
            <w:vAlign w:val="top"/>
            <w:tcMar>
              <w:top w:w="85" w:type="dxa"/>
              <w:start w:w="100" w:type="dxa"/>
              <w:bottom w:w="85" w:type="dxa"/>
              <w:end w:w="100" w:type="dxa"/>
            </w:tcMar>
          </w:tcPr>
          <w:p>
            <w:pPr>
              <w:spacing w:before="0" w:after="0" w:line="254" w:lineRule="auto"/>
            </w:pPr>
            <w:r>
              <w:rPr>
                <w:rFonts w:ascii="Aptos" w:hAnsi="Aptos"/>
                <w:b/>
                <w:color w:val="0E7490"/>
                <w:sz w:val="16"/>
              </w:rPr>
              <w:t>Weekly</w:t>
              <w:br/>
              <w:t>BI + Finance</w:t>
            </w:r>
          </w:p>
        </w:tc>
        <w:tc>
          <w:tcPr>
            <w:tcW w:type="dxa" w:w="5443"/>
            <w:vAlign w:val="top"/>
            <w:tcMar>
              <w:top w:w="85" w:type="dxa"/>
              <w:start w:w="100" w:type="dxa"/>
              <w:bottom w:w="85" w:type="dxa"/>
              <w:end w:w="100" w:type="dxa"/>
            </w:tcMar>
          </w:tcPr>
          <w:p>
            <w:pPr>
              <w:spacing w:before="0" w:after="0" w:line="254" w:lineRule="auto"/>
            </w:pPr>
            <w:r>
              <w:rPr>
                <w:rFonts w:ascii="Aptos" w:hAnsi="Aptos"/>
                <w:b w:val="0"/>
                <w:color w:val="202B35"/>
                <w:sz w:val="16"/>
              </w:rPr>
              <w:t>Add a review of negative-profit orders and discount exceptions, with product, region, and sales channel drilldowns. Track both the count and total negative profit.</w:t>
            </w:r>
          </w:p>
        </w:tc>
        <w:tc>
          <w:tcPr>
            <w:tcW w:type="dxa" w:w="2045"/>
            <w:vAlign w:val="top"/>
            <w:tcMar>
              <w:top w:w="85" w:type="dxa"/>
              <w:start w:w="100" w:type="dxa"/>
              <w:bottom w:w="85" w:type="dxa"/>
              <w:end w:w="100" w:type="dxa"/>
            </w:tcMar>
          </w:tcPr>
          <w:p>
            <w:pPr>
              <w:spacing w:before="0" w:after="0" w:line="254" w:lineRule="auto"/>
            </w:pPr>
            <w:r>
              <w:rPr>
                <w:rFonts w:ascii="Aptos" w:hAnsi="Aptos"/>
                <w:b w:val="0"/>
                <w:color w:val="202B35"/>
                <w:sz w:val="16"/>
              </w:rPr>
              <w:t>Loss-order count and negative-profit value trend down from baseline.</w:t>
            </w:r>
          </w:p>
        </w:tc>
      </w:tr>
      <w:tr>
        <w:tc>
          <w:tcPr>
            <w:tcW w:type="dxa" w:w="2045"/>
            <w:vAlign w:val="top"/>
            <w:tcMar>
              <w:top w:w="85" w:type="dxa"/>
              <w:start w:w="100" w:type="dxa"/>
              <w:bottom w:w="85" w:type="dxa"/>
              <w:end w:w="100" w:type="dxa"/>
            </w:tcMar>
            <w:shd w:fill="F4F7FA"/>
          </w:tcPr>
          <w:p>
            <w:pPr>
              <w:spacing w:before="0" w:after="0" w:line="254" w:lineRule="auto"/>
            </w:pPr>
            <w:r>
              <w:rPr>
                <w:rFonts w:ascii="Aptos" w:hAnsi="Aptos"/>
                <w:b/>
                <w:color w:val="0E7490"/>
                <w:sz w:val="16"/>
              </w:rPr>
              <w:t>Monthly</w:t>
              <w:br/>
              <w:t>Category leads</w:t>
            </w:r>
          </w:p>
        </w:tc>
        <w:tc>
          <w:tcPr>
            <w:tcW w:type="dxa" w:w="5443"/>
            <w:vAlign w:val="top"/>
            <w:tcMar>
              <w:top w:w="85" w:type="dxa"/>
              <w:start w:w="100" w:type="dxa"/>
              <w:bottom w:w="85" w:type="dxa"/>
              <w:end w:w="100" w:type="dxa"/>
            </w:tcMar>
            <w:shd w:fill="F4F7FA"/>
          </w:tcPr>
          <w:p>
            <w:pPr>
              <w:spacing w:before="0" w:after="0" w:line="254" w:lineRule="auto"/>
            </w:pPr>
            <w:r>
              <w:rPr>
                <w:rFonts w:ascii="Aptos" w:hAnsi="Aptos"/>
                <w:b w:val="0"/>
                <w:color w:val="202B35"/>
                <w:sz w:val="16"/>
              </w:rPr>
              <w:t>Review category margin, sales, profit, and discount quartiles together. Set any discount floor only after confirming product costs and promotion economics.</w:t>
            </w:r>
          </w:p>
        </w:tc>
        <w:tc>
          <w:tcPr>
            <w:tcW w:type="dxa" w:w="2045"/>
            <w:vAlign w:val="top"/>
            <w:tcMar>
              <w:top w:w="85" w:type="dxa"/>
              <w:start w:w="100" w:type="dxa"/>
              <w:bottom w:w="85" w:type="dxa"/>
              <w:end w:w="100" w:type="dxa"/>
            </w:tcMar>
            <w:shd w:fill="F4F7FA"/>
          </w:tcPr>
          <w:p>
            <w:pPr>
              <w:spacing w:before="0" w:after="0" w:line="254" w:lineRule="auto"/>
            </w:pPr>
            <w:r>
              <w:rPr>
                <w:rFonts w:ascii="Aptos" w:hAnsi="Aptos"/>
                <w:b w:val="0"/>
                <w:color w:val="202B35"/>
                <w:sz w:val="16"/>
              </w:rPr>
              <w:t>Electronics margin improves while total profit and net sales stay visible.</w:t>
            </w:r>
          </w:p>
        </w:tc>
      </w:tr>
    </w:tbl>
    <w:p>
      <w:pPr>
        <w:spacing w:before="160" w:after="80" w:line="240" w:lineRule="auto"/>
      </w:pPr>
      <w:r>
        <w:rPr>
          <w:rFonts w:ascii="Aptos" w:hAnsi="Aptos"/>
          <w:b/>
          <w:color w:val="17324D"/>
          <w:sz w:val="26"/>
        </w:rPr>
        <w:t>Monitoring scorecard</w:t>
      </w:r>
    </w:p>
    <w:tbl>
      <w:tblPr>
        <w:tblW w:type="auto" w:w="0"/>
        <w:jc w:val="center"/>
        <w:tblLayout w:type="fixed"/>
        <w:tblLook w:firstColumn="1" w:firstRow="1" w:lastColumn="0" w:lastRow="0" w:noHBand="0" w:noVBand="1" w:val="04A0"/>
      </w:tblPr>
      <w:tblGrid>
        <w:gridCol w:w="3384"/>
        <w:gridCol w:w="3384"/>
        <w:gridCol w:w="2765"/>
      </w:tblGrid>
      <w:tr>
        <w:tc>
          <w:tcPr>
            <w:tcW w:type="dxa" w:w="3384"/>
            <w:shd w:fill="EAF2F7"/>
            <w:tcMar>
              <w:top w:w="90" w:type="dxa"/>
              <w:start w:w="115" w:type="dxa"/>
              <w:bottom w:w="90" w:type="dxa"/>
              <w:end w:w="115" w:type="dxa"/>
            </w:tcMar>
          </w:tcPr>
          <w:p>
            <w:pPr>
              <w:spacing w:before="0" w:after="60" w:line="240" w:lineRule="auto"/>
            </w:pPr>
            <w:r>
              <w:rPr>
                <w:rFonts w:ascii="Aptos" w:hAnsi="Aptos"/>
                <w:b/>
                <w:color w:val="0E7490"/>
                <w:sz w:val="18"/>
              </w:rPr>
              <w:t>Profitability</w:t>
            </w:r>
          </w:p>
          <w:p>
            <w:pPr>
              <w:spacing w:before="0" w:after="0" w:line="259" w:lineRule="auto"/>
            </w:pPr>
            <w:r>
              <w:rPr>
                <w:rFonts w:ascii="Aptos" w:hAnsi="Aptos"/>
                <w:b w:val="0"/>
                <w:color w:val="202B35"/>
                <w:sz w:val="16"/>
              </w:rPr>
              <w:t>Net sales; total profit; total margin; Electronics margin</w:t>
            </w:r>
          </w:p>
        </w:tc>
        <w:tc>
          <w:tcPr>
            <w:tcW w:type="dxa" w:w="3384"/>
            <w:shd w:fill="EAF2F7"/>
            <w:tcMar>
              <w:top w:w="90" w:type="dxa"/>
              <w:start w:w="115" w:type="dxa"/>
              <w:bottom w:w="90" w:type="dxa"/>
              <w:end w:w="115" w:type="dxa"/>
            </w:tcMar>
          </w:tcPr>
          <w:p>
            <w:pPr>
              <w:spacing w:before="0" w:after="60" w:line="240" w:lineRule="auto"/>
            </w:pPr>
            <w:r>
              <w:rPr>
                <w:rFonts w:ascii="Aptos" w:hAnsi="Aptos"/>
                <w:b/>
                <w:color w:val="0E7490"/>
                <w:sz w:val="18"/>
              </w:rPr>
              <w:t>Leakage</w:t>
            </w:r>
          </w:p>
          <w:p>
            <w:pPr>
              <w:spacing w:before="0" w:after="0" w:line="259" w:lineRule="auto"/>
            </w:pPr>
            <w:r>
              <w:rPr>
                <w:rFonts w:ascii="Aptos" w:hAnsi="Aptos"/>
                <w:b w:val="0"/>
                <w:color w:val="202B35"/>
                <w:sz w:val="16"/>
              </w:rPr>
              <w:t>Loss-order count; negative-profit value; loss rate by product</w:t>
            </w:r>
          </w:p>
        </w:tc>
        <w:tc>
          <w:tcPr>
            <w:tcW w:type="dxa" w:w="2765"/>
            <w:shd w:fill="EAF2F7"/>
            <w:tcMar>
              <w:top w:w="90" w:type="dxa"/>
              <w:start w:w="115" w:type="dxa"/>
              <w:bottom w:w="90" w:type="dxa"/>
              <w:end w:w="115" w:type="dxa"/>
            </w:tcMar>
          </w:tcPr>
          <w:p>
            <w:pPr>
              <w:spacing w:before="0" w:after="60" w:line="240" w:lineRule="auto"/>
            </w:pPr>
            <w:r>
              <w:rPr>
                <w:rFonts w:ascii="Aptos" w:hAnsi="Aptos"/>
                <w:b/>
                <w:color w:val="0E7490"/>
                <w:sz w:val="18"/>
              </w:rPr>
              <w:t>Commercial guardrails</w:t>
            </w:r>
          </w:p>
          <w:p>
            <w:pPr>
              <w:spacing w:before="0" w:after="0" w:line="259" w:lineRule="auto"/>
            </w:pPr>
            <w:r>
              <w:rPr>
                <w:rFonts w:ascii="Aptos" w:hAnsi="Aptos"/>
                <w:b w:val="0"/>
                <w:color w:val="202B35"/>
                <w:sz w:val="16"/>
              </w:rPr>
              <w:t>Discount rate alongside order profit and conversion</w:t>
            </w:r>
          </w:p>
        </w:tc>
      </w:tr>
    </w:tbl>
    <w:p>
      <w:pPr>
        <w:spacing w:before="160" w:after="80" w:line="240" w:lineRule="auto"/>
      </w:pPr>
      <w:r>
        <w:rPr>
          <w:rFonts w:ascii="Aptos" w:hAnsi="Aptos"/>
          <w:b/>
          <w:color w:val="17324D"/>
          <w:sz w:val="26"/>
        </w:rPr>
        <w:t>How to read these results</w:t>
      </w:r>
    </w:p>
    <w:p>
      <w:pPr>
        <w:spacing w:before="0" w:after="60" w:line="259" w:lineRule="auto"/>
      </w:pPr>
      <w:r>
        <w:rPr>
          <w:rFonts w:ascii="Aptos" w:hAnsi="Aptos"/>
          <w:b w:val="0"/>
          <w:color w:val="202B35"/>
          <w:sz w:val="18"/>
        </w:rPr>
        <w:t>The summaries are descriptive. They identify where losses and lower margins appear, but they do not establish that discounts caused the losses. Product totals can be profitable while individual orders lose money. Treat discount guardrails as a test, and use product cost and conversion data before setting permanent thresholds.</w:t>
      </w:r>
    </w:p>
    <w:p>
      <w:pPr>
        <w:spacing w:before="40" w:after="0" w:line="252" w:lineRule="auto"/>
      </w:pPr>
      <w:r>
        <w:rPr>
          <w:rFonts w:ascii="Aptos" w:hAnsi="Aptos"/>
          <w:b/>
          <w:color w:val="0E7490"/>
          <w:sz w:val="17"/>
        </w:rPr>
        <w:t xml:space="preserve">Data basis: </w:t>
      </w:r>
      <w:r>
        <w:rPr>
          <w:rFonts w:ascii="Aptos" w:hAnsi="Aptos"/>
          <w:b w:val="0"/>
          <w:color w:val="5B6770"/>
          <w:sz w:val="17"/>
        </w:rPr>
        <w:t>Read-only summaries of retail_analysis.retail_sales. Profit margin = total profit divided by net sales. Discount quartiles contain 3,750 transactions each.</w:t>
      </w:r>
    </w:p>
    <w:sectPr w:rsidR="00FC693F" w:rsidRPr="0006063C" w:rsidSect="00034616">
      <w:pgSz w:w="12240" w:h="15840"/>
      <w:pgMar w:top="835" w:right="979" w:bottom="835"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B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Profit Leakage Action Plan</dc:title>
  <dc:subject>Executive profitability review and 30-day action plan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