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5FA4FF" w14:textId="20B20A30" w:rsidR="00B2533A" w:rsidRPr="00E6474C" w:rsidRDefault="00833570">
      <w:pPr>
        <w:rPr>
          <w:rFonts w:ascii="Times New Roman" w:hAnsi="Times New Roman" w:cs="Times New Roman"/>
        </w:rPr>
      </w:pPr>
      <w:r w:rsidRPr="00E6474C">
        <w:rPr>
          <w:rFonts w:ascii="Times New Roman" w:hAnsi="Times New Roman" w:cs="Times New Roman"/>
        </w:rPr>
        <w:t>A.1)</w:t>
      </w:r>
    </w:p>
    <w:p w14:paraId="2A23D57E" w14:textId="77777777" w:rsidR="00E6474C" w:rsidRDefault="00E6474C" w:rsidP="00E6474C">
      <w:pPr>
        <w:shd w:val="clear" w:color="auto" w:fill="ECF0E7"/>
        <w:spacing w:after="0" w:line="675" w:lineRule="atLeast"/>
        <w:jc w:val="center"/>
        <w:outlineLvl w:val="0"/>
        <w:rPr>
          <w:rFonts w:ascii="Times New Roman" w:eastAsia="Times New Roman" w:hAnsi="Times New Roman" w:cs="Times New Roman"/>
          <w:b/>
          <w:bCs/>
          <w:color w:val="333333"/>
          <w:kern w:val="36"/>
          <w:sz w:val="44"/>
          <w:szCs w:val="54"/>
        </w:rPr>
        <w:sectPr w:rsidR="00E6474C">
          <w:pgSz w:w="12240" w:h="15840"/>
          <w:pgMar w:top="1440" w:right="1440" w:bottom="1440" w:left="1440" w:header="720" w:footer="720" w:gutter="0"/>
          <w:cols w:space="720"/>
          <w:docGrid w:linePitch="360"/>
        </w:sectPr>
      </w:pPr>
    </w:p>
    <w:p w14:paraId="7E95145E" w14:textId="7257B767" w:rsidR="00E6474C" w:rsidRPr="00E6474C" w:rsidRDefault="00E6474C" w:rsidP="00E6474C">
      <w:pPr>
        <w:shd w:val="clear" w:color="auto" w:fill="ECF0E7"/>
        <w:spacing w:after="0" w:line="675" w:lineRule="atLeast"/>
        <w:jc w:val="center"/>
        <w:outlineLvl w:val="0"/>
        <w:rPr>
          <w:rFonts w:ascii="Times New Roman" w:eastAsia="Times New Roman" w:hAnsi="Times New Roman" w:cs="Times New Roman"/>
          <w:b/>
          <w:bCs/>
          <w:color w:val="333333"/>
          <w:kern w:val="36"/>
          <w:sz w:val="44"/>
          <w:szCs w:val="54"/>
        </w:rPr>
      </w:pPr>
      <w:r w:rsidRPr="00E6474C">
        <w:rPr>
          <w:rFonts w:ascii="Times New Roman" w:eastAsia="Times New Roman" w:hAnsi="Times New Roman" w:cs="Times New Roman"/>
          <w:b/>
          <w:bCs/>
          <w:color w:val="333333"/>
          <w:kern w:val="36"/>
          <w:sz w:val="44"/>
          <w:szCs w:val="54"/>
        </w:rPr>
        <w:t>DSEX manages to settle in positive territory</w:t>
      </w:r>
    </w:p>
    <w:p w14:paraId="5A7D6903" w14:textId="77777777" w:rsidR="00980398" w:rsidRDefault="00980398">
      <w:pPr>
        <w:rPr>
          <w:rFonts w:ascii="Times New Roman" w:hAnsi="Times New Roman" w:cs="Times New Roman"/>
        </w:rPr>
      </w:pPr>
    </w:p>
    <w:p w14:paraId="29CCF38A" w14:textId="36A7B2A6" w:rsidR="00980398" w:rsidRDefault="00980398">
      <w:pPr>
        <w:rPr>
          <w:rFonts w:ascii="Times New Roman" w:hAnsi="Times New Roman" w:cs="Times New Roman"/>
        </w:rPr>
        <w:sectPr w:rsidR="00980398" w:rsidSect="00980398">
          <w:type w:val="continuous"/>
          <w:pgSz w:w="12240" w:h="15840"/>
          <w:pgMar w:top="1440" w:right="1440" w:bottom="1440" w:left="1440" w:header="720" w:footer="720" w:gutter="0"/>
          <w:cols w:space="720"/>
          <w:docGrid w:linePitch="360"/>
        </w:sectPr>
      </w:pPr>
    </w:p>
    <w:p w14:paraId="473C5371" w14:textId="41A0FDB3" w:rsidR="00B956FB" w:rsidRPr="00E6474C" w:rsidRDefault="00B956FB" w:rsidP="00B956FB">
      <w:pPr>
        <w:pStyle w:val="NormalWeb"/>
        <w:shd w:val="clear" w:color="auto" w:fill="ECF0E7"/>
        <w:spacing w:before="0" w:beforeAutospacing="0" w:line="420" w:lineRule="atLeast"/>
        <w:jc w:val="both"/>
        <w:rPr>
          <w:color w:val="333333"/>
          <w:sz w:val="27"/>
          <w:szCs w:val="27"/>
        </w:rPr>
      </w:pPr>
      <w:r w:rsidRPr="00E6474C">
        <w:rPr>
          <w:color w:val="333333"/>
          <w:sz w:val="21"/>
          <w:szCs w:val="21"/>
        </w:rPr>
        <w:t>The benchmark index of the capital bourse managed to settle in the positive territory last week as the news of the revising down of the interest rate on the Tk 30 billion sovereign-guaranteed loan to ICB slightly shifted the investors' market sentiment to positivity, which created an opportunity for bargain hunters to secure short-term gains amidst political and macroeconomic instability. </w:t>
      </w:r>
    </w:p>
    <w:p w14:paraId="7059EEB0" w14:textId="77777777" w:rsidR="00B956FB" w:rsidRPr="00E6474C" w:rsidRDefault="00B956FB" w:rsidP="00B956FB">
      <w:pPr>
        <w:pStyle w:val="NormalWeb"/>
        <w:shd w:val="clear" w:color="auto" w:fill="ECF0E7"/>
        <w:spacing w:before="0" w:beforeAutospacing="0" w:line="420" w:lineRule="atLeast"/>
        <w:jc w:val="both"/>
        <w:rPr>
          <w:color w:val="333333"/>
          <w:sz w:val="27"/>
          <w:szCs w:val="27"/>
        </w:rPr>
      </w:pPr>
      <w:r w:rsidRPr="00E6474C">
        <w:rPr>
          <w:color w:val="333333"/>
          <w:sz w:val="21"/>
          <w:szCs w:val="21"/>
        </w:rPr>
        <w:t>The market continued to remain volatile throughout the week as buyers and sellers were active on both sides of the trading fence to grab the realm of the market momentum. </w:t>
      </w:r>
    </w:p>
    <w:p w14:paraId="4526D192" w14:textId="77777777" w:rsidR="00B956FB" w:rsidRPr="00E6474C" w:rsidRDefault="00B956FB" w:rsidP="00B956FB">
      <w:pPr>
        <w:pStyle w:val="NormalWeb"/>
        <w:shd w:val="clear" w:color="auto" w:fill="ECF0E7"/>
        <w:spacing w:before="0" w:beforeAutospacing="0" w:line="420" w:lineRule="atLeast"/>
        <w:jc w:val="both"/>
        <w:rPr>
          <w:color w:val="333333"/>
          <w:sz w:val="27"/>
          <w:szCs w:val="27"/>
        </w:rPr>
      </w:pPr>
      <w:r w:rsidRPr="00E6474C">
        <w:rPr>
          <w:color w:val="333333"/>
          <w:sz w:val="21"/>
          <w:szCs w:val="21"/>
        </w:rPr>
        <w:t>DSEX, the broad index of the Dhaka Stock Exchange (DSE), inched up by 4.2 points, or 0.1 per cent, to settle at 5,197 points. </w:t>
      </w:r>
    </w:p>
    <w:p w14:paraId="7D429CC9" w14:textId="77777777" w:rsidR="00B956FB" w:rsidRPr="00E6474C" w:rsidRDefault="00B956FB" w:rsidP="00B956FB">
      <w:pPr>
        <w:pStyle w:val="NormalWeb"/>
        <w:shd w:val="clear" w:color="auto" w:fill="ECF0E7"/>
        <w:spacing w:before="0" w:beforeAutospacing="0" w:line="420" w:lineRule="atLeast"/>
        <w:jc w:val="both"/>
        <w:rPr>
          <w:color w:val="333333"/>
          <w:sz w:val="27"/>
          <w:szCs w:val="27"/>
        </w:rPr>
      </w:pPr>
      <w:r w:rsidRPr="00E6474C">
        <w:rPr>
          <w:color w:val="333333"/>
          <w:sz w:val="21"/>
          <w:szCs w:val="21"/>
        </w:rPr>
        <w:t>Investors' participation in the market also increased by 16.5 per cent to Tk 4,443 million as compared to Taka 3,813 million in the previous week. </w:t>
      </w:r>
    </w:p>
    <w:p w14:paraId="7F85C78C" w14:textId="77777777" w:rsidR="00B956FB" w:rsidRPr="00E6474C" w:rsidRDefault="00B956FB" w:rsidP="00B956FB">
      <w:pPr>
        <w:pStyle w:val="NormalWeb"/>
        <w:shd w:val="clear" w:color="auto" w:fill="ECF0E7"/>
        <w:spacing w:before="0" w:beforeAutospacing="0" w:line="420" w:lineRule="atLeast"/>
        <w:jc w:val="both"/>
        <w:rPr>
          <w:color w:val="333333"/>
          <w:sz w:val="27"/>
          <w:szCs w:val="27"/>
        </w:rPr>
      </w:pPr>
      <w:r w:rsidRPr="00E6474C">
        <w:rPr>
          <w:color w:val="333333"/>
          <w:sz w:val="21"/>
          <w:szCs w:val="21"/>
        </w:rPr>
        <w:t>Investors were mostly active in the Bank sector (14.0 per cent), followed by the Pharma sector (13.7 per cent) and Textile sector (11.6 per cent). </w:t>
      </w:r>
    </w:p>
    <w:p w14:paraId="4A4541DE" w14:textId="77777777" w:rsidR="00B956FB" w:rsidRPr="00E6474C" w:rsidRDefault="00B956FB" w:rsidP="00B956FB">
      <w:pPr>
        <w:pStyle w:val="NormalWeb"/>
        <w:shd w:val="clear" w:color="auto" w:fill="ECF0E7"/>
        <w:spacing w:before="0" w:beforeAutospacing="0" w:line="420" w:lineRule="atLeast"/>
        <w:jc w:val="both"/>
        <w:rPr>
          <w:color w:val="333333"/>
          <w:sz w:val="27"/>
          <w:szCs w:val="27"/>
        </w:rPr>
      </w:pPr>
      <w:r w:rsidRPr="00E6474C">
        <w:rPr>
          <w:color w:val="333333"/>
          <w:sz w:val="21"/>
          <w:szCs w:val="21"/>
        </w:rPr>
        <w:t>Sectors mostly ended in mixed with the Paper sector (4.9 per cent) being the highest gainer, while the Jute sector (-2.7 per cent) being the biggest loser.</w:t>
      </w:r>
    </w:p>
    <w:p w14:paraId="5DFCACCD" w14:textId="77777777" w:rsidR="00B956FB" w:rsidRPr="00E6474C" w:rsidRDefault="00B956FB" w:rsidP="00B956FB">
      <w:pPr>
        <w:pStyle w:val="NormalWeb"/>
        <w:shd w:val="clear" w:color="auto" w:fill="ECF0E7"/>
        <w:spacing w:before="0" w:beforeAutospacing="0" w:line="420" w:lineRule="atLeast"/>
        <w:jc w:val="both"/>
        <w:rPr>
          <w:color w:val="333333"/>
          <w:sz w:val="27"/>
          <w:szCs w:val="27"/>
        </w:rPr>
      </w:pPr>
      <w:r w:rsidRPr="00E6474C">
        <w:rPr>
          <w:color w:val="333333"/>
          <w:sz w:val="21"/>
          <w:szCs w:val="21"/>
        </w:rPr>
        <w:t>MS Safiul Alam, an investor, welcomed the government's efforts saying if the government continues the policy supports, it will increase the confidence of investors.</w:t>
      </w:r>
    </w:p>
    <w:p w14:paraId="417E156E" w14:textId="069BB772" w:rsidR="00B956FB" w:rsidRDefault="00B956FB" w:rsidP="00B956FB">
      <w:pPr>
        <w:pStyle w:val="NormalWeb"/>
        <w:shd w:val="clear" w:color="auto" w:fill="ECF0E7"/>
        <w:spacing w:before="0" w:beforeAutospacing="0" w:line="420" w:lineRule="atLeast"/>
        <w:jc w:val="both"/>
        <w:rPr>
          <w:color w:val="333333"/>
          <w:sz w:val="21"/>
          <w:szCs w:val="21"/>
        </w:rPr>
      </w:pPr>
      <w:r w:rsidRPr="00E6474C">
        <w:rPr>
          <w:color w:val="333333"/>
          <w:sz w:val="21"/>
          <w:szCs w:val="21"/>
        </w:rPr>
        <w:t>The Chittagong Stock Exchange (CSE) also witnessed higher with the CSE All Share Price Index - CASPI -advancing around 49 points to settle at 14,581.</w:t>
      </w:r>
    </w:p>
    <w:p w14:paraId="59C09B3A" w14:textId="58319305" w:rsidR="001926ED" w:rsidRDefault="001926ED" w:rsidP="001926ED">
      <w:pPr>
        <w:pStyle w:val="NormalWeb"/>
        <w:shd w:val="clear" w:color="auto" w:fill="ECF0E7"/>
        <w:spacing w:before="0" w:beforeAutospacing="0" w:line="420" w:lineRule="atLeast"/>
        <w:jc w:val="both"/>
        <w:rPr>
          <w:rFonts w:ascii="Arial" w:hAnsi="Arial" w:cs="Arial"/>
          <w:color w:val="333333"/>
          <w:sz w:val="27"/>
          <w:szCs w:val="27"/>
        </w:rPr>
      </w:pPr>
      <w:r>
        <w:rPr>
          <w:rFonts w:ascii="Tahoma" w:hAnsi="Tahoma" w:cs="Tahoma"/>
          <w:color w:val="333333"/>
          <w:sz w:val="21"/>
          <w:szCs w:val="21"/>
        </w:rPr>
        <w:t>﻿</w:t>
      </w:r>
      <w:r>
        <w:rPr>
          <w:rFonts w:ascii="Arial" w:hAnsi="Arial" w:cs="Arial"/>
          <w:color w:val="333333"/>
          <w:sz w:val="21"/>
          <w:szCs w:val="21"/>
        </w:rPr>
        <w:t>Billionaires have seen their combined wealth shoot up 121 per cent over the past decade to $14 trillion, Swiss bank UBS said Thursday, with tech billionaires' coffers filling the fastest.</w:t>
      </w:r>
    </w:p>
    <w:p w14:paraId="4D0FD7E3" w14:textId="77777777" w:rsidR="001926ED" w:rsidRDefault="001926ED" w:rsidP="001926ED">
      <w:pPr>
        <w:pStyle w:val="NormalWeb"/>
        <w:shd w:val="clear" w:color="auto" w:fill="ECF0E7"/>
        <w:spacing w:before="0" w:beforeAutospacing="0" w:line="420" w:lineRule="atLeast"/>
        <w:jc w:val="both"/>
        <w:rPr>
          <w:rFonts w:ascii="Arial" w:hAnsi="Arial" w:cs="Arial"/>
          <w:color w:val="333333"/>
          <w:sz w:val="27"/>
          <w:szCs w:val="27"/>
        </w:rPr>
      </w:pPr>
      <w:r>
        <w:rPr>
          <w:rFonts w:ascii="Arial" w:hAnsi="Arial" w:cs="Arial"/>
          <w:color w:val="333333"/>
          <w:sz w:val="21"/>
          <w:szCs w:val="21"/>
        </w:rPr>
        <w:t>Switzerland's biggest bank, which is among the world's largest wealth managers, said the number of dollar billionaires increased from 1,757 to 2,682 over the past 10 years, peaking in 2021 with 2,686.</w:t>
      </w:r>
    </w:p>
    <w:p w14:paraId="1E52616B" w14:textId="16D2C78D" w:rsidR="00E6474C" w:rsidRDefault="001926ED" w:rsidP="00C2680B">
      <w:pPr>
        <w:pStyle w:val="NormalWeb"/>
        <w:shd w:val="clear" w:color="auto" w:fill="ECF0E7"/>
        <w:spacing w:before="0" w:beforeAutospacing="0" w:line="420" w:lineRule="atLeast"/>
        <w:jc w:val="both"/>
        <w:sectPr w:rsidR="00E6474C" w:rsidSect="00E6474C">
          <w:type w:val="continuous"/>
          <w:pgSz w:w="12240" w:h="15840"/>
          <w:pgMar w:top="1440" w:right="1440" w:bottom="1440" w:left="1440" w:header="720" w:footer="720" w:gutter="0"/>
          <w:cols w:num="2" w:space="720"/>
          <w:docGrid w:linePitch="360"/>
        </w:sectPr>
      </w:pPr>
      <w:r>
        <w:rPr>
          <w:rFonts w:ascii="Arial" w:hAnsi="Arial" w:cs="Arial"/>
          <w:color w:val="333333"/>
          <w:sz w:val="21"/>
          <w:szCs w:val="21"/>
        </w:rPr>
        <w:t xml:space="preserve">The 10th edition of UBS's annual Billionaire Ambitions report, which tracks the wealth of the </w:t>
      </w:r>
    </w:p>
    <w:p w14:paraId="10901FFA" w14:textId="77777777" w:rsidR="00B956FB" w:rsidRPr="00E6474C" w:rsidRDefault="00B956FB">
      <w:pPr>
        <w:rPr>
          <w:rFonts w:ascii="Times New Roman" w:hAnsi="Times New Roman" w:cs="Times New Roman"/>
        </w:rPr>
      </w:pPr>
    </w:p>
    <w:p w14:paraId="1D4C0EC7" w14:textId="4A499897" w:rsidR="0054156C" w:rsidRPr="00E6474C" w:rsidRDefault="0054156C">
      <w:pPr>
        <w:rPr>
          <w:rFonts w:ascii="Times New Roman" w:hAnsi="Times New Roman" w:cs="Times New Roman"/>
        </w:rPr>
      </w:pPr>
      <w:r w:rsidRPr="00E6474C">
        <w:rPr>
          <w:rFonts w:ascii="Times New Roman" w:hAnsi="Times New Roman" w:cs="Times New Roman"/>
        </w:rPr>
        <w:lastRenderedPageBreak/>
        <w:t>A.</w:t>
      </w:r>
      <w:r w:rsidR="005B6097" w:rsidRPr="00E6474C">
        <w:rPr>
          <w:rFonts w:ascii="Times New Roman" w:hAnsi="Times New Roman" w:cs="Times New Roman"/>
        </w:rPr>
        <w:t>2) Write aa Equation</w:t>
      </w:r>
    </w:p>
    <w:p w14:paraId="046FAA88" w14:textId="735D8B3D" w:rsidR="005B6097" w:rsidRPr="006C3FC2" w:rsidRDefault="00F66A15">
      <w:pPr>
        <w:rPr>
          <w:rFonts w:ascii="Times New Roman" w:eastAsiaTheme="minorEastAsia" w:hAnsi="Times New Roman" w:cs="Times New Roman"/>
          <w:sz w:val="40"/>
          <w:szCs w:val="40"/>
        </w:rPr>
      </w:pPr>
      <m:oMathPara>
        <m:oMath>
          <m:sSup>
            <m:sSupPr>
              <m:ctrlPr>
                <w:rPr>
                  <w:rFonts w:ascii="Cambria Math" w:hAnsi="Cambria Math" w:cs="Times New Roman"/>
                  <w:i/>
                  <w:sz w:val="40"/>
                  <w:szCs w:val="40"/>
                </w:rPr>
              </m:ctrlPr>
            </m:sSupPr>
            <m:e>
              <m:r>
                <w:rPr>
                  <w:rFonts w:ascii="Cambria Math" w:hAnsi="Cambria Math" w:cs="Times New Roman"/>
                  <w:sz w:val="40"/>
                  <w:szCs w:val="40"/>
                </w:rPr>
                <m:t>(</m:t>
              </m:r>
              <m:nary>
                <m:naryPr>
                  <m:chr m:val="∑"/>
                  <m:limLoc m:val="subSup"/>
                  <m:ctrlPr>
                    <w:rPr>
                      <w:rFonts w:ascii="Cambria Math" w:hAnsi="Cambria Math" w:cs="Times New Roman"/>
                      <w:i/>
                      <w:sz w:val="40"/>
                      <w:szCs w:val="40"/>
                    </w:rPr>
                  </m:ctrlPr>
                </m:naryPr>
                <m:sub>
                  <m:r>
                    <w:rPr>
                      <w:rFonts w:ascii="Cambria Math" w:hAnsi="Cambria Math" w:cs="Times New Roman"/>
                      <w:sz w:val="40"/>
                      <w:szCs w:val="40"/>
                    </w:rPr>
                    <m:t>K=0</m:t>
                  </m:r>
                </m:sub>
                <m:sup>
                  <m:r>
                    <w:rPr>
                      <w:rFonts w:ascii="Cambria Math" w:hAnsi="Cambria Math" w:cs="Times New Roman"/>
                      <w:sz w:val="40"/>
                      <w:szCs w:val="40"/>
                    </w:rPr>
                    <m:t>∞</m:t>
                  </m:r>
                </m:sup>
                <m:e>
                  <m:sSup>
                    <m:sSupPr>
                      <m:ctrlPr>
                        <w:rPr>
                          <w:rFonts w:ascii="Cambria Math" w:hAnsi="Cambria Math" w:cs="Times New Roman"/>
                          <w:i/>
                          <w:sz w:val="40"/>
                          <w:szCs w:val="40"/>
                        </w:rPr>
                      </m:ctrlPr>
                    </m:sSupPr>
                    <m:e>
                      <m:d>
                        <m:dPr>
                          <m:ctrlPr>
                            <w:rPr>
                              <w:rFonts w:ascii="Cambria Math" w:hAnsi="Cambria Math" w:cs="Times New Roman"/>
                              <w:i/>
                              <w:sz w:val="40"/>
                              <w:szCs w:val="40"/>
                            </w:rPr>
                          </m:ctrlPr>
                        </m:dPr>
                        <m:e>
                          <m:f>
                            <m:fPr>
                              <m:ctrlPr>
                                <w:rPr>
                                  <w:rFonts w:ascii="Cambria Math" w:hAnsi="Cambria Math" w:cs="Times New Roman"/>
                                  <w:i/>
                                  <w:sz w:val="40"/>
                                  <w:szCs w:val="40"/>
                                </w:rPr>
                              </m:ctrlPr>
                            </m:fPr>
                            <m:num>
                              <m:r>
                                <w:rPr>
                                  <w:rFonts w:ascii="Cambria Math" w:hAnsi="Cambria Math" w:cs="Times New Roman"/>
                                  <w:sz w:val="40"/>
                                  <w:szCs w:val="40"/>
                                </w:rPr>
                                <m:t>2</m:t>
                              </m:r>
                            </m:num>
                            <m:den>
                              <m:r>
                                <w:rPr>
                                  <w:rFonts w:ascii="Cambria Math" w:hAnsi="Cambria Math" w:cs="Times New Roman"/>
                                  <w:sz w:val="40"/>
                                  <w:szCs w:val="40"/>
                                </w:rPr>
                                <m:t>3</m:t>
                              </m:r>
                            </m:den>
                          </m:f>
                        </m:e>
                      </m:d>
                    </m:e>
                    <m:sup>
                      <m:r>
                        <w:rPr>
                          <w:rFonts w:ascii="Cambria Math" w:hAnsi="Cambria Math" w:cs="Times New Roman"/>
                          <w:sz w:val="40"/>
                          <w:szCs w:val="40"/>
                        </w:rPr>
                        <m:t>K</m:t>
                      </m:r>
                    </m:sup>
                  </m:sSup>
                  <m:r>
                    <w:rPr>
                      <w:rFonts w:ascii="Cambria Math" w:hAnsi="Cambria Math" w:cs="Times New Roman"/>
                      <w:sz w:val="40"/>
                      <w:szCs w:val="40"/>
                    </w:rPr>
                    <m:t>+</m:t>
                  </m:r>
                  <m:nary>
                    <m:naryPr>
                      <m:chr m:val="∑"/>
                      <m:limLoc m:val="subSup"/>
                      <m:ctrlPr>
                        <w:rPr>
                          <w:rFonts w:ascii="Cambria Math" w:hAnsi="Cambria Math" w:cs="Times New Roman"/>
                          <w:i/>
                          <w:sz w:val="40"/>
                          <w:szCs w:val="40"/>
                        </w:rPr>
                      </m:ctrlPr>
                    </m:naryPr>
                    <m:sub>
                      <m:r>
                        <w:rPr>
                          <w:rFonts w:ascii="Cambria Math" w:hAnsi="Cambria Math" w:cs="Times New Roman"/>
                          <w:sz w:val="40"/>
                          <w:szCs w:val="40"/>
                        </w:rPr>
                        <m:t>K=0</m:t>
                      </m:r>
                    </m:sub>
                    <m:sup>
                      <m:r>
                        <w:rPr>
                          <w:rFonts w:ascii="Cambria Math" w:hAnsi="Cambria Math" w:cs="Times New Roman"/>
                          <w:sz w:val="40"/>
                          <w:szCs w:val="40"/>
                        </w:rPr>
                        <m:t>∞</m:t>
                      </m:r>
                    </m:sup>
                    <m:e>
                      <m:r>
                        <w:rPr>
                          <w:rFonts w:ascii="Cambria Math" w:hAnsi="Cambria Math" w:cs="Times New Roman"/>
                          <w:sz w:val="40"/>
                          <w:szCs w:val="40"/>
                        </w:rPr>
                        <m:t>(</m:t>
                      </m:r>
                      <m:sSup>
                        <m:sSupPr>
                          <m:ctrlPr>
                            <w:rPr>
                              <w:rFonts w:ascii="Cambria Math" w:hAnsi="Cambria Math" w:cs="Times New Roman"/>
                              <w:i/>
                              <w:sz w:val="40"/>
                              <w:szCs w:val="40"/>
                            </w:rPr>
                          </m:ctrlPr>
                        </m:sSupPr>
                        <m:e>
                          <m:f>
                            <m:fPr>
                              <m:ctrlPr>
                                <w:rPr>
                                  <w:rFonts w:ascii="Cambria Math" w:hAnsi="Cambria Math" w:cs="Times New Roman"/>
                                  <w:i/>
                                  <w:sz w:val="40"/>
                                  <w:szCs w:val="40"/>
                                </w:rPr>
                              </m:ctrlPr>
                            </m:fPr>
                            <m:num>
                              <m:r>
                                <w:rPr>
                                  <w:rFonts w:ascii="Cambria Math" w:hAnsi="Cambria Math" w:cs="Times New Roman"/>
                                  <w:sz w:val="40"/>
                                  <w:szCs w:val="40"/>
                                </w:rPr>
                                <m:t>1</m:t>
                              </m:r>
                            </m:num>
                            <m:den>
                              <m:r>
                                <w:rPr>
                                  <w:rFonts w:ascii="Cambria Math" w:hAnsi="Cambria Math" w:cs="Times New Roman"/>
                                  <w:sz w:val="40"/>
                                  <w:szCs w:val="40"/>
                                </w:rPr>
                                <m:t>2</m:t>
                              </m:r>
                            </m:den>
                          </m:f>
                          <m:r>
                            <w:rPr>
                              <w:rFonts w:ascii="Cambria Math" w:hAnsi="Cambria Math" w:cs="Times New Roman"/>
                              <w:sz w:val="40"/>
                              <w:szCs w:val="40"/>
                            </w:rPr>
                            <m:t>)</m:t>
                          </m:r>
                        </m:e>
                        <m:sup>
                          <m:r>
                            <w:rPr>
                              <w:rFonts w:ascii="Cambria Math" w:hAnsi="Cambria Math" w:cs="Times New Roman"/>
                              <w:sz w:val="40"/>
                              <w:szCs w:val="40"/>
                            </w:rPr>
                            <m:t>K</m:t>
                          </m:r>
                        </m:sup>
                      </m:sSup>
                      <m:r>
                        <w:rPr>
                          <w:rFonts w:ascii="Cambria Math" w:hAnsi="Cambria Math" w:cs="Times New Roman"/>
                          <w:sz w:val="40"/>
                          <w:szCs w:val="40"/>
                        </w:rPr>
                        <m:t>)</m:t>
                      </m:r>
                    </m:e>
                  </m:nary>
                </m:e>
              </m:nary>
            </m:e>
            <m:sup>
              <m:r>
                <w:rPr>
                  <w:rFonts w:ascii="Cambria Math" w:hAnsi="Cambria Math" w:cs="Times New Roman"/>
                  <w:sz w:val="40"/>
                  <w:szCs w:val="40"/>
                </w:rPr>
                <m:t>2</m:t>
              </m:r>
            </m:sup>
          </m:sSup>
        </m:oMath>
      </m:oMathPara>
    </w:p>
    <w:p w14:paraId="66B39280" w14:textId="120835B5" w:rsidR="006C3FC2" w:rsidRDefault="006C3FC2">
      <w:pPr>
        <w:rPr>
          <w:rFonts w:ascii="Times New Roman" w:hAnsi="Times New Roman" w:cs="Times New Roman"/>
          <w:sz w:val="40"/>
          <w:szCs w:val="40"/>
        </w:rPr>
      </w:pPr>
    </w:p>
    <w:p w14:paraId="6001283C" w14:textId="6E93FD28" w:rsidR="006C3FC2" w:rsidRPr="00E6474C" w:rsidRDefault="00F851AE">
      <w:pPr>
        <w:rPr>
          <w:rFonts w:ascii="Times New Roman" w:hAnsi="Times New Roman" w:cs="Times New Roman"/>
          <w:sz w:val="40"/>
          <w:szCs w:val="40"/>
        </w:rPr>
      </w:pPr>
      <w:r>
        <w:rPr>
          <w:rFonts w:ascii="Times New Roman" w:hAnsi="Times New Roman" w:cs="Times New Roman"/>
          <w:sz w:val="40"/>
          <w:szCs w:val="40"/>
        </w:rPr>
        <w:t>b)</w:t>
      </w:r>
      <w:r w:rsidR="00BD6184" w:rsidRPr="00BD6184">
        <w:rPr>
          <w:noProof/>
        </w:rPr>
        <w:t xml:space="preserve"> </w:t>
      </w:r>
      <w:bookmarkStart w:id="0" w:name="_GoBack"/>
      <w:r w:rsidR="00BD6184">
        <w:rPr>
          <w:noProof/>
        </w:rPr>
        <w:drawing>
          <wp:inline distT="0" distB="0" distL="0" distR="0" wp14:anchorId="46F80F87" wp14:editId="538EE981">
            <wp:extent cx="6143625" cy="4191635"/>
            <wp:effectExtent l="0" t="0" r="9525" b="18415"/>
            <wp:docPr id="1" name="Chart 1">
              <a:extLst xmlns:a="http://schemas.openxmlformats.org/drawingml/2006/main">
                <a:ext uri="{FF2B5EF4-FFF2-40B4-BE49-F238E27FC236}">
                  <a16:creationId xmlns:a16="http://schemas.microsoft.com/office/drawing/2014/main" id="{BE641161-65E0-49E8-B0DB-A292F11A228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bookmarkEnd w:id="0"/>
    </w:p>
    <w:sectPr w:rsidR="006C3FC2" w:rsidRPr="00E6474C" w:rsidSect="00E6474C">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261B"/>
    <w:rsid w:val="00096B1D"/>
    <w:rsid w:val="0011294B"/>
    <w:rsid w:val="0017684E"/>
    <w:rsid w:val="001926ED"/>
    <w:rsid w:val="001970F5"/>
    <w:rsid w:val="003C0B99"/>
    <w:rsid w:val="00447632"/>
    <w:rsid w:val="0049261B"/>
    <w:rsid w:val="0054156C"/>
    <w:rsid w:val="005B6097"/>
    <w:rsid w:val="006C3FC2"/>
    <w:rsid w:val="00833570"/>
    <w:rsid w:val="008A73E4"/>
    <w:rsid w:val="00980398"/>
    <w:rsid w:val="00A877F1"/>
    <w:rsid w:val="00B05881"/>
    <w:rsid w:val="00B2533A"/>
    <w:rsid w:val="00B956FB"/>
    <w:rsid w:val="00BD6184"/>
    <w:rsid w:val="00BF2B5B"/>
    <w:rsid w:val="00C2680B"/>
    <w:rsid w:val="00CA35D7"/>
    <w:rsid w:val="00CF057F"/>
    <w:rsid w:val="00DE38B1"/>
    <w:rsid w:val="00E0042B"/>
    <w:rsid w:val="00E6474C"/>
    <w:rsid w:val="00F66A15"/>
    <w:rsid w:val="00F851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143E3"/>
  <w15:chartTrackingRefBased/>
  <w15:docId w15:val="{0216F9A7-781F-4DC7-9C3B-1675EA8929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E6474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47632"/>
    <w:rPr>
      <w:color w:val="808080"/>
    </w:rPr>
  </w:style>
  <w:style w:type="paragraph" w:styleId="NormalWeb">
    <w:name w:val="Normal (Web)"/>
    <w:basedOn w:val="Normal"/>
    <w:uiPriority w:val="99"/>
    <w:unhideWhenUsed/>
    <w:rsid w:val="00B956F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E6474C"/>
    <w:rPr>
      <w:rFonts w:ascii="Times New Roman" w:eastAsia="Times New Roman" w:hAnsi="Times New Roman" w:cs="Times New Roman"/>
      <w:b/>
      <w:bCs/>
      <w:kern w:val="36"/>
      <w:sz w:val="48"/>
      <w:szCs w:val="48"/>
    </w:rPr>
  </w:style>
  <w:style w:type="paragraph" w:customStyle="1" w:styleId="fontsize16">
    <w:name w:val="fontsize16"/>
    <w:basedOn w:val="Normal"/>
    <w:rsid w:val="00E6474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5774288">
      <w:bodyDiv w:val="1"/>
      <w:marLeft w:val="0"/>
      <w:marRight w:val="0"/>
      <w:marTop w:val="0"/>
      <w:marBottom w:val="0"/>
      <w:divBdr>
        <w:top w:val="none" w:sz="0" w:space="0" w:color="auto"/>
        <w:left w:val="none" w:sz="0" w:space="0" w:color="auto"/>
        <w:bottom w:val="none" w:sz="0" w:space="0" w:color="auto"/>
        <w:right w:val="none" w:sz="0" w:space="0" w:color="auto"/>
      </w:divBdr>
    </w:div>
    <w:div w:id="1926916787">
      <w:bodyDiv w:val="1"/>
      <w:marLeft w:val="0"/>
      <w:marRight w:val="0"/>
      <w:marTop w:val="0"/>
      <w:marBottom w:val="0"/>
      <w:divBdr>
        <w:top w:val="none" w:sz="0" w:space="0" w:color="auto"/>
        <w:left w:val="none" w:sz="0" w:space="0" w:color="auto"/>
        <w:bottom w:val="none" w:sz="0" w:space="0" w:color="auto"/>
        <w:right w:val="none" w:sz="0" w:space="0" w:color="auto"/>
      </w:divBdr>
      <w:divsChild>
        <w:div w:id="208105730">
          <w:marLeft w:val="-225"/>
          <w:marRight w:val="-225"/>
          <w:marTop w:val="0"/>
          <w:marBottom w:val="0"/>
          <w:divBdr>
            <w:top w:val="none" w:sz="0" w:space="0" w:color="auto"/>
            <w:left w:val="none" w:sz="0" w:space="0" w:color="auto"/>
            <w:bottom w:val="none" w:sz="0" w:space="0" w:color="auto"/>
            <w:right w:val="none" w:sz="0" w:space="0" w:color="auto"/>
          </w:divBdr>
          <w:divsChild>
            <w:div w:id="802691804">
              <w:marLeft w:val="0"/>
              <w:marRight w:val="0"/>
              <w:marTop w:val="0"/>
              <w:marBottom w:val="0"/>
              <w:divBdr>
                <w:top w:val="none" w:sz="0" w:space="0" w:color="auto"/>
                <w:left w:val="none" w:sz="0" w:space="0" w:color="auto"/>
                <w:bottom w:val="none" w:sz="0" w:space="0" w:color="auto"/>
                <w:right w:val="none" w:sz="0" w:space="0" w:color="auto"/>
              </w:divBdr>
            </w:div>
          </w:divsChild>
        </w:div>
        <w:div w:id="1065301149">
          <w:marLeft w:val="-225"/>
          <w:marRight w:val="-225"/>
          <w:marTop w:val="450"/>
          <w:marBottom w:val="0"/>
          <w:divBdr>
            <w:top w:val="none" w:sz="0" w:space="0" w:color="auto"/>
            <w:left w:val="none" w:sz="0" w:space="0" w:color="auto"/>
            <w:bottom w:val="none" w:sz="0" w:space="0" w:color="auto"/>
            <w:right w:val="none" w:sz="0" w:space="0" w:color="auto"/>
          </w:divBdr>
          <w:divsChild>
            <w:div w:id="1450276273">
              <w:marLeft w:val="0"/>
              <w:marRight w:val="0"/>
              <w:marTop w:val="0"/>
              <w:marBottom w:val="0"/>
              <w:divBdr>
                <w:top w:val="none" w:sz="0" w:space="0" w:color="auto"/>
                <w:left w:val="none" w:sz="0" w:space="0" w:color="auto"/>
                <w:bottom w:val="none" w:sz="0" w:space="0" w:color="auto"/>
                <w:right w:val="none" w:sz="0" w:space="0" w:color="auto"/>
              </w:divBdr>
              <w:divsChild>
                <w:div w:id="16282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381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Networking-Lab\Desktop\17-Nayeem-46\17%20nayeem46.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Bar</a:t>
            </a:r>
            <a:r>
              <a:rPr lang="en-US" baseline="0"/>
              <a:t> Chart </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percentStacked"/>
        <c:varyColors val="0"/>
        <c:ser>
          <c:idx val="0"/>
          <c:order val="0"/>
          <c:tx>
            <c:strRef>
              <c:f>Sheet1!$A$2</c:f>
              <c:strCache>
                <c:ptCount val="1"/>
                <c:pt idx="0">
                  <c:v>Marine Sprite</c:v>
                </c:pt>
              </c:strCache>
            </c:strRef>
          </c:tx>
          <c:spPr>
            <a:solidFill>
              <a:schemeClr val="accent1"/>
            </a:solidFill>
            <a:ln>
              <a:noFill/>
            </a:ln>
            <a:effectLst/>
          </c:spPr>
          <c:invertIfNegative val="0"/>
          <c:cat>
            <c:numRef>
              <c:f>Sheet1!$B$1:$H$1</c:f>
              <c:numCache>
                <c:formatCode>General</c:formatCode>
                <c:ptCount val="7"/>
                <c:pt idx="0">
                  <c:v>2008</c:v>
                </c:pt>
                <c:pt idx="1">
                  <c:v>2009</c:v>
                </c:pt>
                <c:pt idx="2">
                  <c:v>2010</c:v>
                </c:pt>
                <c:pt idx="3">
                  <c:v>2011</c:v>
                </c:pt>
                <c:pt idx="4">
                  <c:v>2012</c:v>
                </c:pt>
                <c:pt idx="5">
                  <c:v>2013</c:v>
                </c:pt>
                <c:pt idx="6">
                  <c:v>2014</c:v>
                </c:pt>
              </c:numCache>
            </c:numRef>
          </c:cat>
          <c:val>
            <c:numRef>
              <c:f>Sheet1!$B$2:$H$2</c:f>
              <c:numCache>
                <c:formatCode>General</c:formatCode>
                <c:ptCount val="7"/>
                <c:pt idx="0">
                  <c:v>31</c:v>
                </c:pt>
                <c:pt idx="1">
                  <c:v>38</c:v>
                </c:pt>
                <c:pt idx="2">
                  <c:v>38</c:v>
                </c:pt>
                <c:pt idx="3">
                  <c:v>27</c:v>
                </c:pt>
                <c:pt idx="4">
                  <c:v>27</c:v>
                </c:pt>
                <c:pt idx="5">
                  <c:v>33</c:v>
                </c:pt>
                <c:pt idx="6">
                  <c:v>24</c:v>
                </c:pt>
              </c:numCache>
            </c:numRef>
          </c:val>
          <c:extLst>
            <c:ext xmlns:c16="http://schemas.microsoft.com/office/drawing/2014/chart" uri="{C3380CC4-5D6E-409C-BE32-E72D297353CC}">
              <c16:uniqueId val="{00000000-D847-46FB-86FF-515E33359897}"/>
            </c:ext>
          </c:extLst>
        </c:ser>
        <c:ser>
          <c:idx val="1"/>
          <c:order val="1"/>
          <c:tx>
            <c:strRef>
              <c:f>Sheet1!$A$3</c:f>
              <c:strCache>
                <c:ptCount val="1"/>
                <c:pt idx="0">
                  <c:v>Striking Calf</c:v>
                </c:pt>
              </c:strCache>
            </c:strRef>
          </c:tx>
          <c:spPr>
            <a:solidFill>
              <a:schemeClr val="accent2"/>
            </a:solidFill>
            <a:ln>
              <a:noFill/>
            </a:ln>
            <a:effectLst/>
          </c:spPr>
          <c:invertIfNegative val="0"/>
          <c:cat>
            <c:numRef>
              <c:f>Sheet1!$B$1:$H$1</c:f>
              <c:numCache>
                <c:formatCode>General</c:formatCode>
                <c:ptCount val="7"/>
                <c:pt idx="0">
                  <c:v>2008</c:v>
                </c:pt>
                <c:pt idx="1">
                  <c:v>2009</c:v>
                </c:pt>
                <c:pt idx="2">
                  <c:v>2010</c:v>
                </c:pt>
                <c:pt idx="3">
                  <c:v>2011</c:v>
                </c:pt>
                <c:pt idx="4">
                  <c:v>2012</c:v>
                </c:pt>
                <c:pt idx="5">
                  <c:v>2013</c:v>
                </c:pt>
                <c:pt idx="6">
                  <c:v>2014</c:v>
                </c:pt>
              </c:numCache>
            </c:numRef>
          </c:cat>
          <c:val>
            <c:numRef>
              <c:f>Sheet1!$B$3:$H$3</c:f>
              <c:numCache>
                <c:formatCode>General</c:formatCode>
                <c:ptCount val="7"/>
                <c:pt idx="0">
                  <c:v>37</c:v>
                </c:pt>
                <c:pt idx="1">
                  <c:v>26</c:v>
                </c:pt>
                <c:pt idx="2">
                  <c:v>30</c:v>
                </c:pt>
                <c:pt idx="3">
                  <c:v>38</c:v>
                </c:pt>
                <c:pt idx="4">
                  <c:v>16</c:v>
                </c:pt>
                <c:pt idx="5">
                  <c:v>33</c:v>
                </c:pt>
                <c:pt idx="6">
                  <c:v>37</c:v>
                </c:pt>
              </c:numCache>
            </c:numRef>
          </c:val>
          <c:extLst>
            <c:ext xmlns:c16="http://schemas.microsoft.com/office/drawing/2014/chart" uri="{C3380CC4-5D6E-409C-BE32-E72D297353CC}">
              <c16:uniqueId val="{00000001-D847-46FB-86FF-515E33359897}"/>
            </c:ext>
          </c:extLst>
        </c:ser>
        <c:ser>
          <c:idx val="2"/>
          <c:order val="2"/>
          <c:tx>
            <c:strRef>
              <c:f>Sheet1!$A$4</c:f>
              <c:strCache>
                <c:ptCount val="1"/>
                <c:pt idx="0">
                  <c:v>Tank Picture</c:v>
                </c:pt>
              </c:strCache>
            </c:strRef>
          </c:tx>
          <c:spPr>
            <a:solidFill>
              <a:schemeClr val="accent3"/>
            </a:solidFill>
            <a:ln>
              <a:noFill/>
            </a:ln>
            <a:effectLst/>
          </c:spPr>
          <c:invertIfNegative val="0"/>
          <c:cat>
            <c:numRef>
              <c:f>Sheet1!$B$1:$H$1</c:f>
              <c:numCache>
                <c:formatCode>General</c:formatCode>
                <c:ptCount val="7"/>
                <c:pt idx="0">
                  <c:v>2008</c:v>
                </c:pt>
                <c:pt idx="1">
                  <c:v>2009</c:v>
                </c:pt>
                <c:pt idx="2">
                  <c:v>2010</c:v>
                </c:pt>
                <c:pt idx="3">
                  <c:v>2011</c:v>
                </c:pt>
                <c:pt idx="4">
                  <c:v>2012</c:v>
                </c:pt>
                <c:pt idx="5">
                  <c:v>2013</c:v>
                </c:pt>
                <c:pt idx="6">
                  <c:v>2014</c:v>
                </c:pt>
              </c:numCache>
            </c:numRef>
          </c:cat>
          <c:val>
            <c:numRef>
              <c:f>Sheet1!$B$4:$H$4</c:f>
              <c:numCache>
                <c:formatCode>General</c:formatCode>
                <c:ptCount val="7"/>
                <c:pt idx="0">
                  <c:v>8</c:v>
                </c:pt>
                <c:pt idx="1">
                  <c:v>14</c:v>
                </c:pt>
                <c:pt idx="2">
                  <c:v>10</c:v>
                </c:pt>
                <c:pt idx="3">
                  <c:v>7</c:v>
                </c:pt>
                <c:pt idx="4">
                  <c:v>19</c:v>
                </c:pt>
                <c:pt idx="5">
                  <c:v>8</c:v>
                </c:pt>
                <c:pt idx="6">
                  <c:v>23</c:v>
                </c:pt>
              </c:numCache>
            </c:numRef>
          </c:val>
          <c:extLst>
            <c:ext xmlns:c16="http://schemas.microsoft.com/office/drawing/2014/chart" uri="{C3380CC4-5D6E-409C-BE32-E72D297353CC}">
              <c16:uniqueId val="{00000002-D847-46FB-86FF-515E33359897}"/>
            </c:ext>
          </c:extLst>
        </c:ser>
        <c:ser>
          <c:idx val="3"/>
          <c:order val="3"/>
          <c:tx>
            <c:strRef>
              <c:f>Sheet1!$A$5</c:f>
              <c:strCache>
                <c:ptCount val="1"/>
                <c:pt idx="0">
                  <c:v>Bucket slope</c:v>
                </c:pt>
              </c:strCache>
            </c:strRef>
          </c:tx>
          <c:spPr>
            <a:solidFill>
              <a:schemeClr val="accent4"/>
            </a:solidFill>
            <a:ln>
              <a:noFill/>
            </a:ln>
            <a:effectLst/>
          </c:spPr>
          <c:invertIfNegative val="0"/>
          <c:cat>
            <c:numRef>
              <c:f>Sheet1!$B$1:$H$1</c:f>
              <c:numCache>
                <c:formatCode>General</c:formatCode>
                <c:ptCount val="7"/>
                <c:pt idx="0">
                  <c:v>2008</c:v>
                </c:pt>
                <c:pt idx="1">
                  <c:v>2009</c:v>
                </c:pt>
                <c:pt idx="2">
                  <c:v>2010</c:v>
                </c:pt>
                <c:pt idx="3">
                  <c:v>2011</c:v>
                </c:pt>
                <c:pt idx="4">
                  <c:v>2012</c:v>
                </c:pt>
                <c:pt idx="5">
                  <c:v>2013</c:v>
                </c:pt>
                <c:pt idx="6">
                  <c:v>2014</c:v>
                </c:pt>
              </c:numCache>
            </c:numRef>
          </c:cat>
          <c:val>
            <c:numRef>
              <c:f>Sheet1!$B$5:$H$5</c:f>
              <c:numCache>
                <c:formatCode>General</c:formatCode>
                <c:ptCount val="7"/>
                <c:pt idx="0">
                  <c:v>6</c:v>
                </c:pt>
                <c:pt idx="1">
                  <c:v>6</c:v>
                </c:pt>
                <c:pt idx="2">
                  <c:v>5</c:v>
                </c:pt>
                <c:pt idx="3">
                  <c:v>6</c:v>
                </c:pt>
                <c:pt idx="4">
                  <c:v>7</c:v>
                </c:pt>
                <c:pt idx="5">
                  <c:v>7</c:v>
                </c:pt>
                <c:pt idx="6">
                  <c:v>5</c:v>
                </c:pt>
              </c:numCache>
            </c:numRef>
          </c:val>
          <c:extLst>
            <c:ext xmlns:c16="http://schemas.microsoft.com/office/drawing/2014/chart" uri="{C3380CC4-5D6E-409C-BE32-E72D297353CC}">
              <c16:uniqueId val="{00000003-D847-46FB-86FF-515E33359897}"/>
            </c:ext>
          </c:extLst>
        </c:ser>
        <c:ser>
          <c:idx val="4"/>
          <c:order val="4"/>
          <c:tx>
            <c:strRef>
              <c:f>Sheet1!$A$6</c:f>
              <c:strCache>
                <c:ptCount val="1"/>
                <c:pt idx="0">
                  <c:v>Reborn Kid</c:v>
                </c:pt>
              </c:strCache>
            </c:strRef>
          </c:tx>
          <c:spPr>
            <a:solidFill>
              <a:schemeClr val="accent5"/>
            </a:solidFill>
            <a:ln>
              <a:noFill/>
            </a:ln>
            <a:effectLst/>
          </c:spPr>
          <c:invertIfNegative val="0"/>
          <c:cat>
            <c:numRef>
              <c:f>Sheet1!$B$1:$H$1</c:f>
              <c:numCache>
                <c:formatCode>General</c:formatCode>
                <c:ptCount val="7"/>
                <c:pt idx="0">
                  <c:v>2008</c:v>
                </c:pt>
                <c:pt idx="1">
                  <c:v>2009</c:v>
                </c:pt>
                <c:pt idx="2">
                  <c:v>2010</c:v>
                </c:pt>
                <c:pt idx="3">
                  <c:v>2011</c:v>
                </c:pt>
                <c:pt idx="4">
                  <c:v>2012</c:v>
                </c:pt>
                <c:pt idx="5">
                  <c:v>2013</c:v>
                </c:pt>
                <c:pt idx="6">
                  <c:v>2014</c:v>
                </c:pt>
              </c:numCache>
            </c:numRef>
          </c:cat>
          <c:val>
            <c:numRef>
              <c:f>Sheet1!$B$6:$H$6</c:f>
              <c:numCache>
                <c:formatCode>General</c:formatCode>
                <c:ptCount val="7"/>
                <c:pt idx="0">
                  <c:v>17</c:v>
                </c:pt>
                <c:pt idx="1">
                  <c:v>10</c:v>
                </c:pt>
                <c:pt idx="2">
                  <c:v>17</c:v>
                </c:pt>
                <c:pt idx="3">
                  <c:v>23</c:v>
                </c:pt>
                <c:pt idx="4">
                  <c:v>31</c:v>
                </c:pt>
                <c:pt idx="5">
                  <c:v>18</c:v>
                </c:pt>
                <c:pt idx="6">
                  <c:v>11</c:v>
                </c:pt>
              </c:numCache>
            </c:numRef>
          </c:val>
          <c:extLst>
            <c:ext xmlns:c16="http://schemas.microsoft.com/office/drawing/2014/chart" uri="{C3380CC4-5D6E-409C-BE32-E72D297353CC}">
              <c16:uniqueId val="{00000004-D847-46FB-86FF-515E33359897}"/>
            </c:ext>
          </c:extLst>
        </c:ser>
        <c:dLbls>
          <c:showLegendKey val="0"/>
          <c:showVal val="0"/>
          <c:showCatName val="0"/>
          <c:showSerName val="0"/>
          <c:showPercent val="0"/>
          <c:showBubbleSize val="0"/>
        </c:dLbls>
        <c:gapWidth val="182"/>
        <c:overlap val="100"/>
        <c:axId val="191666720"/>
        <c:axId val="190111008"/>
      </c:barChart>
      <c:catAx>
        <c:axId val="191666720"/>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Year</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0111008"/>
        <c:crosses val="autoZero"/>
        <c:auto val="1"/>
        <c:lblAlgn val="ctr"/>
        <c:lblOffset val="100"/>
        <c:noMultiLvlLbl val="0"/>
      </c:catAx>
      <c:valAx>
        <c:axId val="190111008"/>
        <c:scaling>
          <c:orientation val="minMax"/>
        </c:scaling>
        <c:delete val="0"/>
        <c:axPos val="b"/>
        <c:majorGridlines>
          <c:spPr>
            <a:ln w="9525" cap="flat" cmpd="sng" algn="ctr">
              <a:solidFill>
                <a:schemeClr val="tx1">
                  <a:lumMod val="15000"/>
                  <a:lumOff val="85000"/>
                </a:schemeClr>
              </a:solidFill>
              <a:round/>
            </a:ln>
            <a:effectLst/>
          </c:spPr>
        </c:majorGridlines>
        <c:title>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166672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9545576-5A11-4C18-9EF6-42B30A98F7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2</Pages>
  <Words>310</Words>
  <Characters>1767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Networking-Lab</dc:creator>
  <cp:keywords/>
  <dc:description/>
  <cp:lastModifiedBy>Networking-Lab</cp:lastModifiedBy>
  <cp:revision>6</cp:revision>
  <dcterms:created xsi:type="dcterms:W3CDTF">2024-12-06T09:34:00Z</dcterms:created>
  <dcterms:modified xsi:type="dcterms:W3CDTF">2024-12-06T10:18:00Z</dcterms:modified>
</cp:coreProperties>
</file>