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ui-design-rationale-habit-studio"/>
    <w:p>
      <w:pPr>
        <w:pStyle w:val="Heading1"/>
      </w:pPr>
      <w:r>
        <w:t xml:space="preserve">UI design rationale (Habit Studio)</w:t>
      </w:r>
    </w:p>
    <w:bookmarkStart w:id="11" w:name="colour-contrast"/>
    <w:p>
      <w:pPr>
        <w:pStyle w:val="Heading2"/>
      </w:pPr>
      <w:r>
        <w:t xml:space="preserve">Colour &amp; contrast</w:t>
      </w:r>
    </w:p>
    <w:p>
      <w:pPr>
        <w:pStyle w:val="FirstParagraph"/>
      </w:pPr>
      <w:r>
        <w:t xml:space="preserve">The interface uses a</w:t>
      </w:r>
      <w:r>
        <w:t xml:space="preserve"> </w:t>
      </w:r>
      <w:r>
        <w:rPr>
          <w:b/>
          <w:bCs/>
        </w:rPr>
        <w:t xml:space="preserve">dual theme</w:t>
      </w:r>
      <w:r>
        <w:t xml:space="preserve"> </w:t>
      </w:r>
      <w:r>
        <w:t xml:space="preserve">(light default + dark) with tokens defined in</w:t>
      </w:r>
      <w:r>
        <w:t xml:space="preserve"> </w:t>
      </w:r>
      <w:hyperlink r:id="rId9">
        <w:r>
          <w:rPr>
            <w:rStyle w:val="VerbatimChar"/>
          </w:rPr>
          <w:t xml:space="preserve">static/style.css</w:t>
        </w:r>
      </w:hyperlink>
      <w:r>
        <w:t xml:space="preserve">. Greens are chosen to echo</w:t>
      </w:r>
      <w:r>
        <w:t xml:space="preserve"> </w:t>
      </w:r>
      <w:r>
        <w:rPr>
          <w:i/>
          <w:iCs/>
        </w:rPr>
        <w:t xml:space="preserve">progress / growth</w:t>
      </w:r>
      <w:r>
        <w:t xml:space="preserve"> </w:t>
      </w:r>
      <w:r>
        <w:t xml:space="preserve">while keeping</w:t>
      </w:r>
      <w:r>
        <w:t xml:space="preserve"> </w:t>
      </w:r>
      <w:r>
        <w:rPr>
          <w:b/>
          <w:bCs/>
        </w:rPr>
        <w:t xml:space="preserve">WCAG-style contrast discipline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Light shell:</w:t>
      </w:r>
      <w:r>
        <w:t xml:space="preserve"> </w:t>
      </w:r>
      <w:r>
        <w:t xml:space="preserve">off‑white page (</w:t>
      </w:r>
      <w:r>
        <w:rPr>
          <w:rStyle w:val="VerbatimChar"/>
        </w:rPr>
        <w:t xml:space="preserve">#f7fafc</w:t>
      </w:r>
      <w:r>
        <w:t xml:space="preserve">) with deep ink text (</w:t>
      </w:r>
      <w:r>
        <w:rPr>
          <w:rStyle w:val="VerbatimChar"/>
        </w:rPr>
        <w:t xml:space="preserve">#1a202c</w:t>
      </w:r>
      <w:r>
        <w:t xml:space="preserve">) for ≥</w:t>
      </w:r>
      <w:r>
        <w:t xml:space="preserve"> </w:t>
      </w:r>
      <w:r>
        <w:rPr>
          <w:b/>
          <w:bCs/>
        </w:rPr>
        <w:t xml:space="preserve">4.5:1</w:t>
      </w:r>
      <w:r>
        <w:t xml:space="preserve"> </w:t>
      </w:r>
      <w:r>
        <w:t xml:space="preserve">style pairings on body copy.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actions:</w:t>
      </w:r>
      <w:r>
        <w:t xml:space="preserve"> </w:t>
      </w:r>
      <w:r>
        <w:t xml:space="preserve">forest greens (</w:t>
      </w:r>
      <w:r>
        <w:rPr>
          <w:rStyle w:val="VerbatimChar"/>
        </w:rPr>
        <w:t xml:space="preserve">#2f855a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#276749</w:t>
      </w:r>
      <w:r>
        <w:t xml:space="preserve">) on light; brighter mint (</w:t>
      </w:r>
      <w:r>
        <w:rPr>
          <w:rStyle w:val="VerbatimChar"/>
        </w:rPr>
        <w:t xml:space="preserve">#48bb78</w:t>
      </w:r>
      <w:r>
        <w:t xml:space="preserve">) on dark surfaces to preserve separation from backgrounds.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Heatmap cells:</w:t>
      </w:r>
      <w:r>
        <w:t xml:space="preserve"> </w:t>
      </w:r>
      <w:r>
        <w:t xml:space="preserve">pair solid fills with</w:t>
      </w:r>
      <w:r>
        <w:t xml:space="preserve"> </w:t>
      </w:r>
      <w:r>
        <w:rPr>
          <w:b/>
          <w:bCs/>
        </w:rPr>
        <w:t xml:space="preserve">striped “empty”</w:t>
      </w:r>
      <w:r>
        <w:t xml:space="preserve"> </w:t>
      </w:r>
      <w:r>
        <w:t xml:space="preserve">states so status is not conveyed by hue alone (WCAG</w:t>
      </w:r>
      <w:r>
        <w:t xml:space="preserve"> </w:t>
      </w:r>
      <w:r>
        <w:rPr>
          <w:b/>
          <w:bCs/>
        </w:rPr>
        <w:t xml:space="preserve">1.4.1 Use of Color</w:t>
      </w:r>
      <w:r>
        <w:t xml:space="preserve"> </w:t>
      </w:r>
      <w:r>
        <w:t xml:space="preserve">awareness).</w:t>
      </w:r>
    </w:p>
    <w:p>
      <w:pPr>
        <w:pStyle w:val="FirstParagraph"/>
      </w:pPr>
      <w:r>
        <w:t xml:space="preserve">Before final submission, paste the token list into a matrix checker (e.g. </w:t>
      </w:r>
      <w:hyperlink r:id="rId10">
        <w:r>
          <w:rPr>
            <w:rStyle w:val="Hyperlink"/>
          </w:rPr>
          <w:t xml:space="preserve">Palette Accessibility Matrix</w:t>
        </w:r>
      </w:hyperlink>
      <w:r>
        <w:t xml:space="preserve">) and attach a screenshot to your PDF appendix if your rubric rewards evidence.</w:t>
      </w:r>
    </w:p>
    <w:bookmarkEnd w:id="11"/>
    <w:bookmarkStart w:id="13" w:name="ux-patterns-referenced-industry"/>
    <w:p>
      <w:pPr>
        <w:pStyle w:val="Heading2"/>
      </w:pPr>
      <w:r>
        <w:t xml:space="preserve">UX patterns referenced (industry)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893"/>
        <w:gridCol w:w="38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 it shows up</w:t>
            </w:r>
          </w:p>
        </w:tc>
        <w:tc>
          <w:tcPr/>
          <w:p>
            <w:pPr>
              <w:pStyle w:val="Compact"/>
            </w:pPr>
            <w:r>
              <w:t xml:space="preserve">Why it helps the marker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 hub + KPI strip</w:t>
            </w:r>
          </w:p>
        </w:tc>
        <w:tc>
          <w:tcPr/>
          <w:p>
            <w:pPr>
              <w:pStyle w:val="Compact"/>
            </w:pPr>
            <w:r>
              <w:t xml:space="preserve">Dashboard hero + cards</w:t>
            </w:r>
          </w:p>
        </w:tc>
        <w:tc>
          <w:tcPr/>
          <w:p>
            <w:pPr>
              <w:pStyle w:val="Compact"/>
            </w:pPr>
            <w:r>
              <w:t xml:space="preserve">Instant story: scope, metrics, “what’s left today”.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 rail</w:t>
            </w:r>
          </w:p>
        </w:tc>
        <w:tc>
          <w:tcPr/>
          <w:p>
            <w:pPr>
              <w:pStyle w:val="Compact"/>
            </w:pPr>
            <w:r>
              <w:t xml:space="preserve">“Today’s focus” list</w:t>
            </w:r>
          </w:p>
        </w:tc>
        <w:tc>
          <w:tcPr/>
          <w:p>
            <w:pPr>
              <w:pStyle w:val="Compact"/>
            </w:pPr>
            <w:r>
              <w:t xml:space="preserve">Reduces clicks for the core loop (log completion).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Dense analytics + explanation</w:t>
            </w:r>
          </w:p>
        </w:tc>
        <w:tc>
          <w:tcPr/>
          <w:p>
            <w:pPr>
              <w:pStyle w:val="Compact"/>
            </w:pPr>
            <w:r>
              <w:t xml:space="preserve">Weekly bars + heatmap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  <w:r>
              <w:t xml:space="preserve"> </w:t>
            </w:r>
            <w:r>
              <w:rPr>
                <w:i/>
                <w:iCs/>
              </w:rPr>
              <w:t xml:space="preserve">non-trivial</w:t>
            </w:r>
            <w:r>
              <w:t xml:space="preserve"> </w:t>
            </w:r>
            <w:r>
              <w:t xml:space="preserve">logic + visualisation without external chart APIs.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Destructive flow guard</w:t>
            </w:r>
          </w:p>
        </w:tc>
        <w:tc>
          <w:tcPr/>
          <w:p>
            <w:pPr>
              <w:pStyle w:val="Compact"/>
            </w:pPr>
            <w:r>
              <w:t xml:space="preserve">Backup restore confirm + cap</w:t>
            </w:r>
          </w:p>
        </w:tc>
        <w:tc>
          <w:tcPr/>
          <w:p>
            <w:pPr>
              <w:pStyle w:val="Compact"/>
            </w:pPr>
            <w:r>
              <w:t xml:space="preserve">Shows security thinking appropriate to local tools.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toggle w/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prefers-color-scheme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static/theme.js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Modern UX affordance; still zero network calls.</w:t>
            </w:r>
          </w:p>
        </w:tc>
      </w:tr>
    </w:tbl>
    <w:bookmarkEnd w:id="13"/>
    <w:bookmarkStart w:id="14" w:name="motion-a11y"/>
    <w:p>
      <w:pPr>
        <w:pStyle w:val="Heading2"/>
      </w:pPr>
      <w:r>
        <w:t xml:space="preserve">Motion &amp; a11y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disables hover lift transforms.</w:t>
      </w:r>
    </w:p>
    <w:p>
      <w:pPr>
        <w:pStyle w:val="Compact"/>
        <w:numPr>
          <w:ilvl w:val="0"/>
          <w:numId w:val="1002"/>
        </w:numPr>
      </w:pPr>
      <w:r>
        <w:t xml:space="preserve">Skip link,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flash host, focus-visible rings, semantic heatmap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hints.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note is safe to paste (condensed) into your PDF under Design → UX justification.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tatic/style.css" TargetMode="External" /><Relationship Type="http://schemas.openxmlformats.org/officeDocument/2006/relationships/hyperlink" Id="rId12" Target="../static/theme.js" TargetMode="External" /><Relationship Type="http://schemas.openxmlformats.org/officeDocument/2006/relationships/hyperlink" Id="rId10" Target="https://66colorful.com/tools/palette-accessibility-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tatic/style.css" TargetMode="External" /><Relationship Type="http://schemas.openxmlformats.org/officeDocument/2006/relationships/hyperlink" Id="rId12" Target="../static/theme.js" TargetMode="External" /><Relationship Type="http://schemas.openxmlformats.org/officeDocument/2006/relationships/hyperlink" Id="rId10" Target="https://66colorful.com/tools/palette-accessibility-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2026-05-02T19:46:34Z</dcterms:created>
  <dcterms:modified xsi:type="dcterms:W3CDTF">2026-05-02T19:46:34Z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