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Enterprise Service Level Agreement Policy</w:t>
      </w:r>
    </w:p>
    <w:p>
      <w:pPr>
        <w:pStyle w:val="BodyText"/>
        <w:bidi w:val="0"/>
        <w:rPr/>
      </w:pPr>
      <w:r>
        <w:rPr>
          <w:b/>
        </w:rPr>
        <w:t>Document ID:</w:t>
      </w:r>
      <w:r>
        <w:rPr/>
        <w:t xml:space="preserve"> SLA-POL-2026-001</w:t>
        <w:br/>
      </w:r>
      <w:r>
        <w:rPr>
          <w:b/>
        </w:rPr>
        <w:t>Version:</w:t>
      </w:r>
      <w:r>
        <w:rPr/>
        <w:t xml:space="preserve"> 3.2</w:t>
        <w:br/>
      </w:r>
      <w:r>
        <w:rPr>
          <w:b/>
        </w:rPr>
        <w:t>Effective Date:</w:t>
      </w:r>
      <w:r>
        <w:rPr/>
        <w:t xml:space="preserve"> 2026-01-01</w:t>
        <w:br/>
      </w:r>
      <w:r>
        <w:rPr>
          <w:b/>
        </w:rPr>
        <w:t>Review Cycle:</w:t>
      </w:r>
      <w:r>
        <w:rPr/>
        <w:t xml:space="preserve"> Annual</w:t>
        <w:br/>
      </w:r>
      <w:r>
        <w:rPr>
          <w:b/>
        </w:rPr>
        <w:t>Owner:</w:t>
      </w:r>
      <w:r>
        <w:rPr/>
        <w:t xml:space="preserve"> Customer Success &amp; Legal Operations</w:t>
        <w:br/>
      </w:r>
      <w:r>
        <w:rPr>
          <w:b/>
        </w:rPr>
        <w:t>Classification:</w:t>
      </w:r>
      <w:r>
        <w:rPr/>
        <w:t xml:space="preserve"> Customer-Facing — Confidential</w:t>
      </w:r>
    </w:p>
    <w:p>
      <w:pPr>
        <w:pStyle w:val="HorizontalLine"/>
        <w:bidi w:val="0"/>
        <w:rPr/>
      </w:pPr>
      <w:r>
        <w:rPr/>
      </w:r>
    </w:p>
    <w:p>
      <w:pPr>
        <w:pStyle w:val="Heading2"/>
        <w:bidi w:val="0"/>
        <w:ind w:hanging="0" w:start="0"/>
        <w:rPr/>
      </w:pPr>
      <w:r>
        <w:rPr/>
        <w:t>1. Purpose and Scope</w:t>
      </w:r>
    </w:p>
    <w:p>
      <w:pPr>
        <w:pStyle w:val="BodyText"/>
        <w:bidi w:val="0"/>
        <w:rPr/>
      </w:pPr>
      <w:r>
        <w:rPr/>
        <w:t>This Service Level Agreement (SLA) Policy defines the contractual uptime guarantees, incident response time obligations, support tier entitlements, and financial remedy terms applicable to all Enterprise and Business-tier subscribers of the DocuQuery Platform.</w:t>
      </w:r>
    </w:p>
    <w:p>
      <w:pPr>
        <w:pStyle w:val="BodyText"/>
        <w:bidi w:val="0"/>
        <w:rPr/>
      </w:pPr>
      <w:r>
        <w:rPr/>
        <w:t>This policy governs the following service components:</w:t>
      </w:r>
    </w:p>
    <w:p>
      <w:pPr>
        <w:pStyle w:val="BodyText"/>
        <w:numPr>
          <w:ilvl w:val="0"/>
          <w:numId w:val="2"/>
        </w:numPr>
        <w:tabs>
          <w:tab w:val="clear" w:pos="709"/>
          <w:tab w:val="left" w:pos="709" w:leader="none"/>
        </w:tabs>
        <w:bidi w:val="0"/>
        <w:ind w:hanging="283" w:start="709"/>
        <w:rPr/>
      </w:pPr>
      <w:r>
        <w:rPr>
          <w:b/>
        </w:rPr>
        <w:t>DocuQuery API Gateway</w:t>
      </w:r>
      <w:r>
        <w:rPr/>
        <w:t xml:space="preserve"> — the primary REST and SSE interface consumed by client applications.</w:t>
      </w:r>
    </w:p>
    <w:p>
      <w:pPr>
        <w:pStyle w:val="BodyText"/>
        <w:numPr>
          <w:ilvl w:val="0"/>
          <w:numId w:val="2"/>
        </w:numPr>
        <w:tabs>
          <w:tab w:val="clear" w:pos="709"/>
          <w:tab w:val="left" w:pos="709" w:leader="none"/>
        </w:tabs>
        <w:bidi w:val="0"/>
        <w:ind w:hanging="283" w:start="709"/>
        <w:rPr/>
      </w:pPr>
      <w:r>
        <w:rPr>
          <w:b/>
        </w:rPr>
        <w:t>Vector Search Infrastructure</w:t>
      </w:r>
      <w:r>
        <w:rPr/>
        <w:t xml:space="preserve"> — the HNSW-backed semantic retrieval layer.</w:t>
      </w:r>
    </w:p>
    <w:p>
      <w:pPr>
        <w:pStyle w:val="BodyText"/>
        <w:numPr>
          <w:ilvl w:val="0"/>
          <w:numId w:val="2"/>
        </w:numPr>
        <w:tabs>
          <w:tab w:val="clear" w:pos="709"/>
          <w:tab w:val="left" w:pos="709" w:leader="none"/>
        </w:tabs>
        <w:bidi w:val="0"/>
        <w:ind w:hanging="283" w:start="709"/>
        <w:rPr/>
      </w:pPr>
      <w:r>
        <w:rPr>
          <w:b/>
        </w:rPr>
        <w:t>Document Ingestion Pipeline</w:t>
      </w:r>
      <w:r>
        <w:rPr/>
        <w:t xml:space="preserve"> — asynchronous chunking, embedding, and indexing services.</w:t>
      </w:r>
    </w:p>
    <w:p>
      <w:pPr>
        <w:pStyle w:val="BodyText"/>
        <w:numPr>
          <w:ilvl w:val="0"/>
          <w:numId w:val="2"/>
        </w:numPr>
        <w:tabs>
          <w:tab w:val="clear" w:pos="709"/>
          <w:tab w:val="left" w:pos="709" w:leader="none"/>
        </w:tabs>
        <w:bidi w:val="0"/>
        <w:ind w:hanging="283" w:start="709"/>
        <w:rPr/>
      </w:pPr>
      <w:r>
        <w:rPr>
          <w:b/>
        </w:rPr>
        <w:t>Audit Telemetry Store</w:t>
      </w:r>
      <w:r>
        <w:rPr/>
        <w:t xml:space="preserve"> — the tamper-resistant query log exposed via the Analytics API.</w:t>
      </w:r>
    </w:p>
    <w:p>
      <w:pPr>
        <w:pStyle w:val="BodyText"/>
        <w:bidi w:val="0"/>
        <w:rPr/>
      </w:pPr>
      <w:r>
        <w:rPr/>
        <w:t>This policy does not govern free-tier or trial accounts, which operate under best-effort availability with no contractual SLA obligations.</w:t>
      </w:r>
    </w:p>
    <w:p>
      <w:pPr>
        <w:pStyle w:val="HorizontalLine"/>
        <w:bidi w:val="0"/>
        <w:rPr/>
      </w:pPr>
      <w:r>
        <w:rPr/>
      </w:r>
    </w:p>
    <w:p>
      <w:pPr>
        <w:pStyle w:val="Heading2"/>
        <w:bidi w:val="0"/>
        <w:ind w:hanging="0" w:start="0"/>
        <w:rPr/>
      </w:pPr>
      <w:r>
        <w:rPr/>
        <w:t>2. SLA Tiers</w:t>
      </w:r>
    </w:p>
    <w:p>
      <w:pPr>
        <w:pStyle w:val="BodyText"/>
        <w:bidi w:val="0"/>
        <w:rPr/>
      </w:pPr>
      <w:r>
        <w:rPr/>
        <w:t>DocuQuery offers three contractual service tiers. Tier assignment is determined at contract signature and documented in the Order Form.</w:t>
      </w:r>
    </w:p>
    <w:p>
      <w:pPr>
        <w:pStyle w:val="Heading3"/>
        <w:bidi w:val="0"/>
        <w:ind w:hanging="0" w:start="0"/>
        <w:rPr/>
      </w:pPr>
      <w:r>
        <w:rPr/>
        <w:t>2.1 Tier 1 — Enterprise Platinum</w:t>
      </w:r>
    </w:p>
    <w:p>
      <w:pPr>
        <w:pStyle w:val="BodyText"/>
        <w:bidi w:val="0"/>
        <w:rPr/>
      </w:pPr>
      <w:r>
        <w:rPr>
          <w:b/>
        </w:rPr>
        <w:t>Target audience:</w:t>
      </w:r>
      <w:r>
        <w:rPr/>
        <w:t xml:space="preserve"> Mission-critical production deployments, regulated industries (finance, healthcare, legal), and clients with contractual downstream obligations.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Commitment</w:t>
            </w:r>
          </w:p>
        </w:tc>
      </w:tr>
      <w:tr>
        <w:trPr/>
        <w:tc>
          <w:tcPr>
            <w:tcW w:w="4819" w:type="dxa"/>
            <w:tcBorders>
              <w:start w:val="single" w:sz="4" w:space="0" w:color="000000"/>
              <w:bottom w:val="single" w:sz="4" w:space="0" w:color="000000"/>
            </w:tcBorders>
          </w:tcPr>
          <w:p>
            <w:pPr>
              <w:pStyle w:val="TableContents"/>
              <w:bidi w:val="0"/>
              <w:jc w:val="start"/>
              <w:rPr/>
            </w:pPr>
            <w:r>
              <w:rPr/>
              <w:t>Monthly Uptime</w:t>
            </w:r>
          </w:p>
        </w:tc>
        <w:tc>
          <w:tcPr>
            <w:tcW w:w="4819" w:type="dxa"/>
            <w:tcBorders>
              <w:start w:val="single" w:sz="4" w:space="0" w:color="000000"/>
              <w:bottom w:val="single" w:sz="4" w:space="0" w:color="000000"/>
              <w:end w:val="single" w:sz="4" w:space="0" w:color="000000"/>
            </w:tcBorders>
          </w:tcPr>
          <w:p>
            <w:pPr>
              <w:pStyle w:val="TableContents"/>
              <w:bidi w:val="0"/>
              <w:rPr/>
            </w:pPr>
            <w:r>
              <w:rPr>
                <w:b/>
              </w:rPr>
              <w:t>99.95%</w:t>
            </w:r>
            <w:r>
              <w:rPr/>
              <w:t xml:space="preserve"> (≤ 21.9 minutes downtime per month)</w:t>
            </w:r>
          </w:p>
        </w:tc>
      </w:tr>
      <w:tr>
        <w:trPr/>
        <w:tc>
          <w:tcPr>
            <w:tcW w:w="4819" w:type="dxa"/>
            <w:tcBorders>
              <w:start w:val="single" w:sz="4" w:space="0" w:color="000000"/>
              <w:bottom w:val="single" w:sz="4" w:space="0" w:color="000000"/>
            </w:tcBorders>
          </w:tcPr>
          <w:p>
            <w:pPr>
              <w:pStyle w:val="TableContents"/>
              <w:bidi w:val="0"/>
              <w:jc w:val="start"/>
              <w:rPr/>
            </w:pPr>
            <w:r>
              <w:rPr/>
              <w:t>API P99 Response Latency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2 000 ms under standard load (≤ 500 concurrent users)</w:t>
            </w:r>
          </w:p>
        </w:tc>
      </w:tr>
      <w:tr>
        <w:trPr/>
        <w:tc>
          <w:tcPr>
            <w:tcW w:w="4819" w:type="dxa"/>
            <w:tcBorders>
              <w:start w:val="single" w:sz="4" w:space="0" w:color="000000"/>
              <w:bottom w:val="single" w:sz="4" w:space="0" w:color="000000"/>
            </w:tcBorders>
          </w:tcPr>
          <w:p>
            <w:pPr>
              <w:pStyle w:val="TableContents"/>
              <w:bidi w:val="0"/>
              <w:jc w:val="start"/>
              <w:rPr/>
            </w:pPr>
            <w:r>
              <w:rPr/>
              <w:t>Document Ingestion Throughput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30 seconds per 100-page document</w:t>
            </w:r>
          </w:p>
        </w:tc>
      </w:tr>
      <w:tr>
        <w:trPr/>
        <w:tc>
          <w:tcPr>
            <w:tcW w:w="4819" w:type="dxa"/>
            <w:tcBorders>
              <w:start w:val="single" w:sz="4" w:space="0" w:color="000000"/>
              <w:bottom w:val="single" w:sz="4" w:space="0" w:color="000000"/>
            </w:tcBorders>
          </w:tcPr>
          <w:p>
            <w:pPr>
              <w:pStyle w:val="TableContents"/>
              <w:bidi w:val="0"/>
              <w:jc w:val="start"/>
              <w:rPr/>
            </w:pPr>
            <w:r>
              <w:rPr/>
              <w:t>Data Residency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Single-region isolation; region selectable at contract time</w:t>
            </w:r>
          </w:p>
        </w:tc>
      </w:tr>
    </w:tbl>
    <w:p>
      <w:pPr>
        <w:pStyle w:val="BodyText"/>
        <w:bidi w:val="0"/>
        <w:rPr/>
      </w:pPr>
      <w:r>
        <w:rPr/>
      </w:r>
    </w:p>
    <w:p>
      <w:pPr>
        <w:pStyle w:val="BodyText"/>
        <w:bidi w:val="0"/>
        <w:rPr/>
      </w:pPr>
      <w:r>
        <w:rPr>
          <w:b/>
        </w:rPr>
        <w:t>Support channels:</w:t>
      </w:r>
      <w:r>
        <w:rPr/>
        <w:t xml:space="preserve"> Dedicated 24/7 Slack Connect channel, direct phone escalation line, named Customer Success Manager (CSM).</w:t>
      </w:r>
    </w:p>
    <w:p>
      <w:pPr>
        <w:pStyle w:val="BodyText"/>
        <w:bidi w:val="0"/>
        <w:rPr/>
      </w:pPr>
      <w:r>
        <w:rPr>
          <w:b/>
        </w:rPr>
        <w:t>Initial Response Times: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Response SLA</w:t>
            </w:r>
          </w:p>
        </w:tc>
      </w:tr>
      <w:tr>
        <w:trPr/>
        <w:tc>
          <w:tcPr>
            <w:tcW w:w="3212" w:type="dxa"/>
            <w:tcBorders>
              <w:start w:val="single" w:sz="4" w:space="0" w:color="000000"/>
              <w:bottom w:val="single" w:sz="4" w:space="0" w:color="000000"/>
            </w:tcBorders>
          </w:tcPr>
          <w:p>
            <w:pPr>
              <w:pStyle w:val="TableContents"/>
              <w:bidi w:val="0"/>
              <w:jc w:val="start"/>
              <w:rPr/>
            </w:pPr>
            <w:r>
              <w:rPr/>
              <w:t>P0 — Service Outage</w:t>
            </w:r>
          </w:p>
        </w:tc>
        <w:tc>
          <w:tcPr>
            <w:tcW w:w="3213" w:type="dxa"/>
            <w:tcBorders>
              <w:start w:val="single" w:sz="4" w:space="0" w:color="000000"/>
              <w:bottom w:val="single" w:sz="4" w:space="0" w:color="000000"/>
            </w:tcBorders>
          </w:tcPr>
          <w:p>
            <w:pPr>
              <w:pStyle w:val="TableContents"/>
              <w:bidi w:val="0"/>
              <w:jc w:val="start"/>
              <w:rPr/>
            </w:pPr>
            <w:r>
              <w:rPr/>
              <w:t>Complete API unavailability or data loss</w:t>
            </w:r>
          </w:p>
        </w:tc>
        <w:tc>
          <w:tcPr>
            <w:tcW w:w="3213" w:type="dxa"/>
            <w:tcBorders>
              <w:start w:val="single" w:sz="4" w:space="0" w:color="000000"/>
              <w:bottom w:val="single" w:sz="4" w:space="0" w:color="000000"/>
              <w:end w:val="single" w:sz="4" w:space="0" w:color="000000"/>
            </w:tcBorders>
          </w:tcPr>
          <w:p>
            <w:pPr>
              <w:pStyle w:val="TableContents"/>
              <w:bidi w:val="0"/>
              <w:rPr/>
            </w:pPr>
            <w:r>
              <w:rPr>
                <w:b/>
              </w:rPr>
              <w:t>15 minutes</w:t>
            </w:r>
          </w:p>
        </w:tc>
      </w:tr>
      <w:tr>
        <w:trPr/>
        <w:tc>
          <w:tcPr>
            <w:tcW w:w="3212" w:type="dxa"/>
            <w:tcBorders>
              <w:start w:val="single" w:sz="4" w:space="0" w:color="000000"/>
              <w:bottom w:val="single" w:sz="4" w:space="0" w:color="000000"/>
            </w:tcBorders>
          </w:tcPr>
          <w:p>
            <w:pPr>
              <w:pStyle w:val="TableContents"/>
              <w:bidi w:val="0"/>
              <w:jc w:val="start"/>
              <w:rPr/>
            </w:pPr>
            <w:r>
              <w:rPr/>
              <w:t>P1 — Degraded Service</w:t>
            </w:r>
          </w:p>
        </w:tc>
        <w:tc>
          <w:tcPr>
            <w:tcW w:w="3213" w:type="dxa"/>
            <w:tcBorders>
              <w:start w:val="single" w:sz="4" w:space="0" w:color="000000"/>
              <w:bottom w:val="single" w:sz="4" w:space="0" w:color="000000"/>
            </w:tcBorders>
          </w:tcPr>
          <w:p>
            <w:pPr>
              <w:pStyle w:val="TableContents"/>
              <w:bidi w:val="0"/>
              <w:jc w:val="start"/>
              <w:rPr/>
            </w:pPr>
            <w:r>
              <w:rPr/>
              <w:t>&gt;25% error rate or latency &gt;5× baseline</w:t>
            </w:r>
          </w:p>
        </w:tc>
        <w:tc>
          <w:tcPr>
            <w:tcW w:w="3213" w:type="dxa"/>
            <w:tcBorders>
              <w:start w:val="single" w:sz="4" w:space="0" w:color="000000"/>
              <w:bottom w:val="single" w:sz="4" w:space="0" w:color="000000"/>
              <w:end w:val="single" w:sz="4" w:space="0" w:color="000000"/>
            </w:tcBorders>
          </w:tcPr>
          <w:p>
            <w:pPr>
              <w:pStyle w:val="TableContents"/>
              <w:bidi w:val="0"/>
              <w:rPr/>
            </w:pPr>
            <w:r>
              <w:rPr>
                <w:b/>
              </w:rPr>
              <w:t>1 hour</w:t>
            </w:r>
          </w:p>
        </w:tc>
      </w:tr>
      <w:tr>
        <w:trPr/>
        <w:tc>
          <w:tcPr>
            <w:tcW w:w="3212" w:type="dxa"/>
            <w:tcBorders>
              <w:start w:val="single" w:sz="4" w:space="0" w:color="000000"/>
              <w:bottom w:val="single" w:sz="4" w:space="0" w:color="000000"/>
            </w:tcBorders>
          </w:tcPr>
          <w:p>
            <w:pPr>
              <w:pStyle w:val="TableContents"/>
              <w:bidi w:val="0"/>
              <w:jc w:val="start"/>
              <w:rPr/>
            </w:pPr>
            <w:r>
              <w:rPr/>
              <w:t>P2 — Functional Impairment</w:t>
            </w:r>
          </w:p>
        </w:tc>
        <w:tc>
          <w:tcPr>
            <w:tcW w:w="3213" w:type="dxa"/>
            <w:tcBorders>
              <w:start w:val="single" w:sz="4" w:space="0" w:color="000000"/>
              <w:bottom w:val="single" w:sz="4" w:space="0" w:color="000000"/>
            </w:tcBorders>
          </w:tcPr>
          <w:p>
            <w:pPr>
              <w:pStyle w:val="TableContents"/>
              <w:bidi w:val="0"/>
              <w:jc w:val="start"/>
              <w:rPr/>
            </w:pPr>
            <w:r>
              <w:rPr/>
              <w:t>Non-critical feature failure</w:t>
            </w:r>
          </w:p>
        </w:tc>
        <w:tc>
          <w:tcPr>
            <w:tcW w:w="3213" w:type="dxa"/>
            <w:tcBorders>
              <w:start w:val="single" w:sz="4" w:space="0" w:color="000000"/>
              <w:bottom w:val="single" w:sz="4" w:space="0" w:color="000000"/>
              <w:end w:val="single" w:sz="4" w:space="0" w:color="000000"/>
            </w:tcBorders>
          </w:tcPr>
          <w:p>
            <w:pPr>
              <w:pStyle w:val="TableContents"/>
              <w:bidi w:val="0"/>
              <w:rPr/>
            </w:pPr>
            <w:r>
              <w:rPr>
                <w:b/>
              </w:rPr>
              <w:t>4 hours</w:t>
            </w:r>
          </w:p>
        </w:tc>
      </w:tr>
      <w:tr>
        <w:trPr/>
        <w:tc>
          <w:tcPr>
            <w:tcW w:w="3212" w:type="dxa"/>
            <w:tcBorders>
              <w:start w:val="single" w:sz="4" w:space="0" w:color="000000"/>
              <w:bottom w:val="single" w:sz="4" w:space="0" w:color="000000"/>
            </w:tcBorders>
          </w:tcPr>
          <w:p>
            <w:pPr>
              <w:pStyle w:val="TableContents"/>
              <w:bidi w:val="0"/>
              <w:jc w:val="start"/>
              <w:rPr/>
            </w:pPr>
            <w:r>
              <w:rPr/>
              <w:t>P3 — Minor / Informational</w:t>
            </w:r>
          </w:p>
        </w:tc>
        <w:tc>
          <w:tcPr>
            <w:tcW w:w="3213" w:type="dxa"/>
            <w:tcBorders>
              <w:start w:val="single" w:sz="4" w:space="0" w:color="000000"/>
              <w:bottom w:val="single" w:sz="4" w:space="0" w:color="000000"/>
            </w:tcBorders>
          </w:tcPr>
          <w:p>
            <w:pPr>
              <w:pStyle w:val="TableContents"/>
              <w:bidi w:val="0"/>
              <w:jc w:val="start"/>
              <w:rPr/>
            </w:pPr>
            <w:r>
              <w:rPr/>
              <w:t>Questions, cosmetic issues, enhancement requests</w:t>
            </w:r>
          </w:p>
        </w:tc>
        <w:tc>
          <w:tcPr>
            <w:tcW w:w="3213" w:type="dxa"/>
            <w:tcBorders>
              <w:start w:val="single" w:sz="4" w:space="0" w:color="000000"/>
              <w:bottom w:val="single" w:sz="4" w:space="0" w:color="000000"/>
              <w:end w:val="single" w:sz="4" w:space="0" w:color="000000"/>
            </w:tcBorders>
          </w:tcPr>
          <w:p>
            <w:pPr>
              <w:pStyle w:val="TableContents"/>
              <w:bidi w:val="0"/>
              <w:rPr/>
            </w:pPr>
            <w:r>
              <w:rPr>
                <w:b/>
              </w:rPr>
              <w:t>1 business day</w:t>
            </w:r>
          </w:p>
        </w:tc>
      </w:tr>
    </w:tbl>
    <w:p>
      <w:pPr>
        <w:pStyle w:val="BodyText"/>
        <w:bidi w:val="0"/>
        <w:rPr/>
      </w:pPr>
      <w:r>
        <w:rPr/>
      </w:r>
    </w:p>
    <w:p>
      <w:pPr>
        <w:pStyle w:val="HorizontalLine"/>
        <w:bidi w:val="0"/>
        <w:rPr/>
      </w:pPr>
      <w:r>
        <w:rPr/>
      </w:r>
    </w:p>
    <w:p>
      <w:pPr>
        <w:pStyle w:val="Heading3"/>
        <w:bidi w:val="0"/>
        <w:ind w:hanging="0" w:start="0"/>
        <w:rPr/>
      </w:pPr>
      <w:r>
        <w:rPr/>
        <w:t>2.2 Tier 2 — Enterprise Standard</w:t>
      </w:r>
    </w:p>
    <w:p>
      <w:pPr>
        <w:pStyle w:val="BodyText"/>
        <w:bidi w:val="0"/>
        <w:rPr/>
      </w:pPr>
      <w:r>
        <w:rPr>
          <w:b/>
        </w:rPr>
        <w:t>Target audience:</w:t>
      </w:r>
      <w:r>
        <w:rPr/>
        <w:t xml:space="preserve"> Production workloads with moderate uptime requirements, typically internal-facing applications where brief maintenance windows are acceptable.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Commitment</w:t>
            </w:r>
          </w:p>
        </w:tc>
      </w:tr>
      <w:tr>
        <w:trPr/>
        <w:tc>
          <w:tcPr>
            <w:tcW w:w="4819" w:type="dxa"/>
            <w:tcBorders>
              <w:start w:val="single" w:sz="4" w:space="0" w:color="000000"/>
              <w:bottom w:val="single" w:sz="4" w:space="0" w:color="000000"/>
            </w:tcBorders>
          </w:tcPr>
          <w:p>
            <w:pPr>
              <w:pStyle w:val="TableContents"/>
              <w:bidi w:val="0"/>
              <w:jc w:val="start"/>
              <w:rPr/>
            </w:pPr>
            <w:r>
              <w:rPr/>
              <w:t>Monthly Uptime</w:t>
            </w:r>
          </w:p>
        </w:tc>
        <w:tc>
          <w:tcPr>
            <w:tcW w:w="4819" w:type="dxa"/>
            <w:tcBorders>
              <w:start w:val="single" w:sz="4" w:space="0" w:color="000000"/>
              <w:bottom w:val="single" w:sz="4" w:space="0" w:color="000000"/>
              <w:end w:val="single" w:sz="4" w:space="0" w:color="000000"/>
            </w:tcBorders>
          </w:tcPr>
          <w:p>
            <w:pPr>
              <w:pStyle w:val="TableContents"/>
              <w:bidi w:val="0"/>
              <w:rPr/>
            </w:pPr>
            <w:r>
              <w:rPr>
                <w:b/>
              </w:rPr>
              <w:t>99.9%</w:t>
            </w:r>
            <w:r>
              <w:rPr/>
              <w:t xml:space="preserve"> (≤ 43.8 minutes downtime per month)</w:t>
            </w:r>
          </w:p>
        </w:tc>
      </w:tr>
      <w:tr>
        <w:trPr/>
        <w:tc>
          <w:tcPr>
            <w:tcW w:w="4819" w:type="dxa"/>
            <w:tcBorders>
              <w:start w:val="single" w:sz="4" w:space="0" w:color="000000"/>
              <w:bottom w:val="single" w:sz="4" w:space="0" w:color="000000"/>
            </w:tcBorders>
          </w:tcPr>
          <w:p>
            <w:pPr>
              <w:pStyle w:val="TableContents"/>
              <w:bidi w:val="0"/>
              <w:jc w:val="start"/>
              <w:rPr/>
            </w:pPr>
            <w:r>
              <w:rPr/>
              <w:t>API P99 Response Latency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3 000 ms under standard load (≤ 200 concurrent users)</w:t>
            </w:r>
          </w:p>
        </w:tc>
      </w:tr>
      <w:tr>
        <w:trPr/>
        <w:tc>
          <w:tcPr>
            <w:tcW w:w="4819" w:type="dxa"/>
            <w:tcBorders>
              <w:start w:val="single" w:sz="4" w:space="0" w:color="000000"/>
              <w:bottom w:val="single" w:sz="4" w:space="0" w:color="000000"/>
            </w:tcBorders>
          </w:tcPr>
          <w:p>
            <w:pPr>
              <w:pStyle w:val="TableContents"/>
              <w:bidi w:val="0"/>
              <w:jc w:val="start"/>
              <w:rPr/>
            </w:pPr>
            <w:r>
              <w:rPr/>
              <w:t>Document Ingestion Throughput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60 seconds per 100-page document</w:t>
            </w:r>
          </w:p>
        </w:tc>
      </w:tr>
      <w:tr>
        <w:trPr/>
        <w:tc>
          <w:tcPr>
            <w:tcW w:w="4819" w:type="dxa"/>
            <w:tcBorders>
              <w:start w:val="single" w:sz="4" w:space="0" w:color="000000"/>
              <w:bottom w:val="single" w:sz="4" w:space="0" w:color="000000"/>
            </w:tcBorders>
          </w:tcPr>
          <w:p>
            <w:pPr>
              <w:pStyle w:val="TableContents"/>
              <w:bidi w:val="0"/>
              <w:jc w:val="start"/>
              <w:rPr/>
            </w:pPr>
            <w:r>
              <w:rPr/>
              <w:t>Data Residency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Multi-region with cross-region failover</w:t>
            </w:r>
          </w:p>
        </w:tc>
      </w:tr>
    </w:tbl>
    <w:p>
      <w:pPr>
        <w:pStyle w:val="BodyText"/>
        <w:bidi w:val="0"/>
        <w:rPr/>
      </w:pPr>
      <w:r>
        <w:rPr/>
      </w:r>
    </w:p>
    <w:p>
      <w:pPr>
        <w:pStyle w:val="BodyText"/>
        <w:bidi w:val="0"/>
        <w:rPr/>
      </w:pPr>
      <w:r>
        <w:rPr>
          <w:b/>
        </w:rPr>
        <w:t>Support channels:</w:t>
      </w:r>
      <w:r>
        <w:rPr/>
        <w:t xml:space="preserve"> Shared support portal (web + email), on-call escalation for P0/P1.</w:t>
      </w:r>
    </w:p>
    <w:p>
      <w:pPr>
        <w:pStyle w:val="BodyText"/>
        <w:bidi w:val="0"/>
        <w:rPr/>
      </w:pPr>
      <w:r>
        <w:rPr>
          <w:b/>
        </w:rPr>
        <w:t>Initial Response Times: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Response SLA</w:t>
            </w:r>
          </w:p>
        </w:tc>
      </w:tr>
      <w:tr>
        <w:trPr/>
        <w:tc>
          <w:tcPr>
            <w:tcW w:w="3212" w:type="dxa"/>
            <w:tcBorders>
              <w:start w:val="single" w:sz="4" w:space="0" w:color="000000"/>
              <w:bottom w:val="single" w:sz="4" w:space="0" w:color="000000"/>
            </w:tcBorders>
          </w:tcPr>
          <w:p>
            <w:pPr>
              <w:pStyle w:val="TableContents"/>
              <w:bidi w:val="0"/>
              <w:jc w:val="start"/>
              <w:rPr/>
            </w:pPr>
            <w:r>
              <w:rPr/>
              <w:t>P0 — Service Outage</w:t>
            </w:r>
          </w:p>
        </w:tc>
        <w:tc>
          <w:tcPr>
            <w:tcW w:w="3213" w:type="dxa"/>
            <w:tcBorders>
              <w:start w:val="single" w:sz="4" w:space="0" w:color="000000"/>
              <w:bottom w:val="single" w:sz="4" w:space="0" w:color="000000"/>
            </w:tcBorders>
          </w:tcPr>
          <w:p>
            <w:pPr>
              <w:pStyle w:val="TableContents"/>
              <w:bidi w:val="0"/>
              <w:jc w:val="start"/>
              <w:rPr/>
            </w:pPr>
            <w:r>
              <w:rPr/>
              <w:t>Complete API unavailability or data loss</w:t>
            </w:r>
          </w:p>
        </w:tc>
        <w:tc>
          <w:tcPr>
            <w:tcW w:w="3213" w:type="dxa"/>
            <w:tcBorders>
              <w:start w:val="single" w:sz="4" w:space="0" w:color="000000"/>
              <w:bottom w:val="single" w:sz="4" w:space="0" w:color="000000"/>
              <w:end w:val="single" w:sz="4" w:space="0" w:color="000000"/>
            </w:tcBorders>
          </w:tcPr>
          <w:p>
            <w:pPr>
              <w:pStyle w:val="TableContents"/>
              <w:bidi w:val="0"/>
              <w:rPr/>
            </w:pPr>
            <w:r>
              <w:rPr>
                <w:b/>
              </w:rPr>
              <w:t>30 minutes</w:t>
            </w:r>
          </w:p>
        </w:tc>
      </w:tr>
      <w:tr>
        <w:trPr/>
        <w:tc>
          <w:tcPr>
            <w:tcW w:w="3212" w:type="dxa"/>
            <w:tcBorders>
              <w:start w:val="single" w:sz="4" w:space="0" w:color="000000"/>
              <w:bottom w:val="single" w:sz="4" w:space="0" w:color="000000"/>
            </w:tcBorders>
          </w:tcPr>
          <w:p>
            <w:pPr>
              <w:pStyle w:val="TableContents"/>
              <w:bidi w:val="0"/>
              <w:jc w:val="start"/>
              <w:rPr/>
            </w:pPr>
            <w:r>
              <w:rPr/>
              <w:t>P1 — Degraded Service</w:t>
            </w:r>
          </w:p>
        </w:tc>
        <w:tc>
          <w:tcPr>
            <w:tcW w:w="3213" w:type="dxa"/>
            <w:tcBorders>
              <w:start w:val="single" w:sz="4" w:space="0" w:color="000000"/>
              <w:bottom w:val="single" w:sz="4" w:space="0" w:color="000000"/>
            </w:tcBorders>
          </w:tcPr>
          <w:p>
            <w:pPr>
              <w:pStyle w:val="TableContents"/>
              <w:bidi w:val="0"/>
              <w:jc w:val="start"/>
              <w:rPr/>
            </w:pPr>
            <w:r>
              <w:rPr/>
              <w:t>&gt;25% error rate or latency &gt;5× baseline</w:t>
            </w:r>
          </w:p>
        </w:tc>
        <w:tc>
          <w:tcPr>
            <w:tcW w:w="3213" w:type="dxa"/>
            <w:tcBorders>
              <w:start w:val="single" w:sz="4" w:space="0" w:color="000000"/>
              <w:bottom w:val="single" w:sz="4" w:space="0" w:color="000000"/>
              <w:end w:val="single" w:sz="4" w:space="0" w:color="000000"/>
            </w:tcBorders>
          </w:tcPr>
          <w:p>
            <w:pPr>
              <w:pStyle w:val="TableContents"/>
              <w:bidi w:val="0"/>
              <w:rPr/>
            </w:pPr>
            <w:r>
              <w:rPr>
                <w:b/>
              </w:rPr>
              <w:t>2 hours</w:t>
            </w:r>
          </w:p>
        </w:tc>
      </w:tr>
      <w:tr>
        <w:trPr/>
        <w:tc>
          <w:tcPr>
            <w:tcW w:w="3212" w:type="dxa"/>
            <w:tcBorders>
              <w:start w:val="single" w:sz="4" w:space="0" w:color="000000"/>
              <w:bottom w:val="single" w:sz="4" w:space="0" w:color="000000"/>
            </w:tcBorders>
          </w:tcPr>
          <w:p>
            <w:pPr>
              <w:pStyle w:val="TableContents"/>
              <w:bidi w:val="0"/>
              <w:jc w:val="start"/>
              <w:rPr/>
            </w:pPr>
            <w:r>
              <w:rPr/>
              <w:t>P2 — Functional Impairment</w:t>
            </w:r>
          </w:p>
        </w:tc>
        <w:tc>
          <w:tcPr>
            <w:tcW w:w="3213" w:type="dxa"/>
            <w:tcBorders>
              <w:start w:val="single" w:sz="4" w:space="0" w:color="000000"/>
              <w:bottom w:val="single" w:sz="4" w:space="0" w:color="000000"/>
            </w:tcBorders>
          </w:tcPr>
          <w:p>
            <w:pPr>
              <w:pStyle w:val="TableContents"/>
              <w:bidi w:val="0"/>
              <w:jc w:val="start"/>
              <w:rPr/>
            </w:pPr>
            <w:r>
              <w:rPr/>
              <w:t>Non-critical feature failure</w:t>
            </w:r>
          </w:p>
        </w:tc>
        <w:tc>
          <w:tcPr>
            <w:tcW w:w="3213" w:type="dxa"/>
            <w:tcBorders>
              <w:start w:val="single" w:sz="4" w:space="0" w:color="000000"/>
              <w:bottom w:val="single" w:sz="4" w:space="0" w:color="000000"/>
              <w:end w:val="single" w:sz="4" w:space="0" w:color="000000"/>
            </w:tcBorders>
          </w:tcPr>
          <w:p>
            <w:pPr>
              <w:pStyle w:val="TableContents"/>
              <w:bidi w:val="0"/>
              <w:rPr/>
            </w:pPr>
            <w:r>
              <w:rPr>
                <w:b/>
              </w:rPr>
              <w:t>8 hours</w:t>
            </w:r>
          </w:p>
        </w:tc>
      </w:tr>
      <w:tr>
        <w:trPr/>
        <w:tc>
          <w:tcPr>
            <w:tcW w:w="3212" w:type="dxa"/>
            <w:tcBorders>
              <w:start w:val="single" w:sz="4" w:space="0" w:color="000000"/>
              <w:bottom w:val="single" w:sz="4" w:space="0" w:color="000000"/>
            </w:tcBorders>
          </w:tcPr>
          <w:p>
            <w:pPr>
              <w:pStyle w:val="TableContents"/>
              <w:bidi w:val="0"/>
              <w:jc w:val="start"/>
              <w:rPr/>
            </w:pPr>
            <w:r>
              <w:rPr/>
              <w:t>P3 — Minor / Informational</w:t>
            </w:r>
          </w:p>
        </w:tc>
        <w:tc>
          <w:tcPr>
            <w:tcW w:w="3213" w:type="dxa"/>
            <w:tcBorders>
              <w:start w:val="single" w:sz="4" w:space="0" w:color="000000"/>
              <w:bottom w:val="single" w:sz="4" w:space="0" w:color="000000"/>
            </w:tcBorders>
          </w:tcPr>
          <w:p>
            <w:pPr>
              <w:pStyle w:val="TableContents"/>
              <w:bidi w:val="0"/>
              <w:jc w:val="start"/>
              <w:rPr/>
            </w:pPr>
            <w:r>
              <w:rPr/>
              <w:t>Questions, cosmetic issues, enhancement requests</w:t>
            </w:r>
          </w:p>
        </w:tc>
        <w:tc>
          <w:tcPr>
            <w:tcW w:w="3213" w:type="dxa"/>
            <w:tcBorders>
              <w:start w:val="single" w:sz="4" w:space="0" w:color="000000"/>
              <w:bottom w:val="single" w:sz="4" w:space="0" w:color="000000"/>
              <w:end w:val="single" w:sz="4" w:space="0" w:color="000000"/>
            </w:tcBorders>
          </w:tcPr>
          <w:p>
            <w:pPr>
              <w:pStyle w:val="TableContents"/>
              <w:bidi w:val="0"/>
              <w:rPr/>
            </w:pPr>
            <w:r>
              <w:rPr>
                <w:b/>
              </w:rPr>
              <w:t>2 business days</w:t>
            </w:r>
          </w:p>
        </w:tc>
      </w:tr>
    </w:tbl>
    <w:p>
      <w:pPr>
        <w:pStyle w:val="BodyText"/>
        <w:bidi w:val="0"/>
        <w:rPr/>
      </w:pPr>
      <w:r>
        <w:rPr/>
      </w:r>
    </w:p>
    <w:p>
      <w:pPr>
        <w:pStyle w:val="HorizontalLine"/>
        <w:bidi w:val="0"/>
        <w:rPr/>
      </w:pPr>
      <w:r>
        <w:rPr/>
      </w:r>
    </w:p>
    <w:p>
      <w:pPr>
        <w:pStyle w:val="Heading3"/>
        <w:bidi w:val="0"/>
        <w:ind w:hanging="0" w:start="0"/>
        <w:rPr/>
      </w:pPr>
      <w:r>
        <w:rPr/>
        <w:t>2.3 Tier 3 — Business</w:t>
      </w:r>
    </w:p>
    <w:p>
      <w:pPr>
        <w:pStyle w:val="BodyText"/>
        <w:bidi w:val="0"/>
        <w:rPr/>
      </w:pPr>
      <w:r>
        <w:rPr>
          <w:b/>
        </w:rPr>
        <w:t>Target audience:</w:t>
      </w:r>
      <w:r>
        <w:rPr/>
        <w:t xml:space="preserve"> Development, staging, and low-volume production workloads where cost optimisation takes precedence over uptime guarantees.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Commitment</w:t>
            </w:r>
          </w:p>
        </w:tc>
      </w:tr>
      <w:tr>
        <w:trPr/>
        <w:tc>
          <w:tcPr>
            <w:tcW w:w="4819" w:type="dxa"/>
            <w:tcBorders>
              <w:start w:val="single" w:sz="4" w:space="0" w:color="000000"/>
              <w:bottom w:val="single" w:sz="4" w:space="0" w:color="000000"/>
            </w:tcBorders>
          </w:tcPr>
          <w:p>
            <w:pPr>
              <w:pStyle w:val="TableContents"/>
              <w:bidi w:val="0"/>
              <w:jc w:val="start"/>
              <w:rPr/>
            </w:pPr>
            <w:r>
              <w:rPr/>
              <w:t>Monthly Uptime</w:t>
            </w:r>
          </w:p>
        </w:tc>
        <w:tc>
          <w:tcPr>
            <w:tcW w:w="4819" w:type="dxa"/>
            <w:tcBorders>
              <w:start w:val="single" w:sz="4" w:space="0" w:color="000000"/>
              <w:bottom w:val="single" w:sz="4" w:space="0" w:color="000000"/>
              <w:end w:val="single" w:sz="4" w:space="0" w:color="000000"/>
            </w:tcBorders>
          </w:tcPr>
          <w:p>
            <w:pPr>
              <w:pStyle w:val="TableContents"/>
              <w:bidi w:val="0"/>
              <w:rPr/>
            </w:pPr>
            <w:r>
              <w:rPr>
                <w:b/>
              </w:rPr>
              <w:t>99.5%</w:t>
            </w:r>
            <w:r>
              <w:rPr/>
              <w:t xml:space="preserve"> (≤ 3.65 hours downtime per month)</w:t>
            </w:r>
          </w:p>
        </w:tc>
      </w:tr>
      <w:tr>
        <w:trPr/>
        <w:tc>
          <w:tcPr>
            <w:tcW w:w="4819" w:type="dxa"/>
            <w:tcBorders>
              <w:start w:val="single" w:sz="4" w:space="0" w:color="000000"/>
              <w:bottom w:val="single" w:sz="4" w:space="0" w:color="000000"/>
            </w:tcBorders>
          </w:tcPr>
          <w:p>
            <w:pPr>
              <w:pStyle w:val="TableContents"/>
              <w:bidi w:val="0"/>
              <w:jc w:val="start"/>
              <w:rPr/>
            </w:pPr>
            <w:r>
              <w:rPr/>
              <w:t>API P99 Response Latency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5 000 ms under standard load (≤ 50 concurrent users)</w:t>
            </w:r>
          </w:p>
        </w:tc>
      </w:tr>
      <w:tr>
        <w:trPr/>
        <w:tc>
          <w:tcPr>
            <w:tcW w:w="4819" w:type="dxa"/>
            <w:tcBorders>
              <w:start w:val="single" w:sz="4" w:space="0" w:color="000000"/>
              <w:bottom w:val="single" w:sz="4" w:space="0" w:color="000000"/>
            </w:tcBorders>
          </w:tcPr>
          <w:p>
            <w:pPr>
              <w:pStyle w:val="TableContents"/>
              <w:bidi w:val="0"/>
              <w:jc w:val="start"/>
              <w:rPr/>
            </w:pPr>
            <w:r>
              <w:rPr/>
              <w:t>Document Ingestion Throughput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Best-effort; no contractual ceiling</w:t>
            </w:r>
          </w:p>
        </w:tc>
      </w:tr>
      <w:tr>
        <w:trPr/>
        <w:tc>
          <w:tcPr>
            <w:tcW w:w="4819" w:type="dxa"/>
            <w:tcBorders>
              <w:start w:val="single" w:sz="4" w:space="0" w:color="000000"/>
              <w:bottom w:val="single" w:sz="4" w:space="0" w:color="000000"/>
            </w:tcBorders>
          </w:tcPr>
          <w:p>
            <w:pPr>
              <w:pStyle w:val="TableContents"/>
              <w:bidi w:val="0"/>
              <w:jc w:val="start"/>
              <w:rPr/>
            </w:pPr>
            <w:r>
              <w:rPr/>
              <w:t>Data Residency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Shared infrastructure; region preference honoured where capacity permits</w:t>
            </w:r>
          </w:p>
        </w:tc>
      </w:tr>
    </w:tbl>
    <w:p>
      <w:pPr>
        <w:pStyle w:val="BodyText"/>
        <w:bidi w:val="0"/>
        <w:rPr/>
      </w:pPr>
      <w:r>
        <w:rPr/>
      </w:r>
    </w:p>
    <w:p>
      <w:pPr>
        <w:pStyle w:val="BodyText"/>
        <w:bidi w:val="0"/>
        <w:rPr/>
      </w:pPr>
      <w:r>
        <w:rPr>
          <w:b/>
        </w:rPr>
        <w:t>Support channels:</w:t>
      </w:r>
      <w:r>
        <w:rPr/>
        <w:t xml:space="preserve"> Community forum, email support during business hours (09:00–18:00 UTC, Monday–Friday).</w:t>
      </w:r>
    </w:p>
    <w:p>
      <w:pPr>
        <w:pStyle w:val="BodyText"/>
        <w:bidi w:val="0"/>
        <w:rPr/>
      </w:pPr>
      <w:r>
        <w:rPr>
          <w:b/>
        </w:rPr>
        <w:t>Initial Response Times: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Response SLA</w:t>
            </w:r>
          </w:p>
        </w:tc>
      </w:tr>
      <w:tr>
        <w:trPr/>
        <w:tc>
          <w:tcPr>
            <w:tcW w:w="3212" w:type="dxa"/>
            <w:tcBorders>
              <w:start w:val="single" w:sz="4" w:space="0" w:color="000000"/>
              <w:bottom w:val="single" w:sz="4" w:space="0" w:color="000000"/>
            </w:tcBorders>
          </w:tcPr>
          <w:p>
            <w:pPr>
              <w:pStyle w:val="TableContents"/>
              <w:bidi w:val="0"/>
              <w:jc w:val="start"/>
              <w:rPr/>
            </w:pPr>
            <w:r>
              <w:rPr/>
              <w:t>P0 — Service Outage</w:t>
            </w:r>
          </w:p>
        </w:tc>
        <w:tc>
          <w:tcPr>
            <w:tcW w:w="3213" w:type="dxa"/>
            <w:tcBorders>
              <w:start w:val="single" w:sz="4" w:space="0" w:color="000000"/>
              <w:bottom w:val="single" w:sz="4" w:space="0" w:color="000000"/>
            </w:tcBorders>
          </w:tcPr>
          <w:p>
            <w:pPr>
              <w:pStyle w:val="TableContents"/>
              <w:bidi w:val="0"/>
              <w:jc w:val="start"/>
              <w:rPr/>
            </w:pPr>
            <w:r>
              <w:rPr/>
              <w:t>Complete API unavailability</w:t>
            </w:r>
          </w:p>
        </w:tc>
        <w:tc>
          <w:tcPr>
            <w:tcW w:w="3213" w:type="dxa"/>
            <w:tcBorders>
              <w:start w:val="single" w:sz="4" w:space="0" w:color="000000"/>
              <w:bottom w:val="single" w:sz="4" w:space="0" w:color="000000"/>
              <w:end w:val="single" w:sz="4" w:space="0" w:color="000000"/>
            </w:tcBorders>
          </w:tcPr>
          <w:p>
            <w:pPr>
              <w:pStyle w:val="TableContents"/>
              <w:bidi w:val="0"/>
              <w:rPr/>
            </w:pPr>
            <w:r>
              <w:rPr>
                <w:b/>
              </w:rPr>
              <w:t>4 hours</w:t>
            </w:r>
          </w:p>
        </w:tc>
      </w:tr>
      <w:tr>
        <w:trPr/>
        <w:tc>
          <w:tcPr>
            <w:tcW w:w="3212" w:type="dxa"/>
            <w:tcBorders>
              <w:start w:val="single" w:sz="4" w:space="0" w:color="000000"/>
              <w:bottom w:val="single" w:sz="4" w:space="0" w:color="000000"/>
            </w:tcBorders>
          </w:tcPr>
          <w:p>
            <w:pPr>
              <w:pStyle w:val="TableContents"/>
              <w:bidi w:val="0"/>
              <w:jc w:val="start"/>
              <w:rPr/>
            </w:pPr>
            <w:r>
              <w:rPr/>
              <w:t>P1 — Degraded Service</w:t>
            </w:r>
          </w:p>
        </w:tc>
        <w:tc>
          <w:tcPr>
            <w:tcW w:w="3213" w:type="dxa"/>
            <w:tcBorders>
              <w:start w:val="single" w:sz="4" w:space="0" w:color="000000"/>
              <w:bottom w:val="single" w:sz="4" w:space="0" w:color="000000"/>
            </w:tcBorders>
          </w:tcPr>
          <w:p>
            <w:pPr>
              <w:pStyle w:val="TableContents"/>
              <w:bidi w:val="0"/>
              <w:jc w:val="start"/>
              <w:rPr/>
            </w:pPr>
            <w:r>
              <w:rPr/>
              <w:t>&gt;25% error rate</w:t>
            </w:r>
          </w:p>
        </w:tc>
        <w:tc>
          <w:tcPr>
            <w:tcW w:w="3213" w:type="dxa"/>
            <w:tcBorders>
              <w:start w:val="single" w:sz="4" w:space="0" w:color="000000"/>
              <w:bottom w:val="single" w:sz="4" w:space="0" w:color="000000"/>
              <w:end w:val="single" w:sz="4" w:space="0" w:color="000000"/>
            </w:tcBorders>
          </w:tcPr>
          <w:p>
            <w:pPr>
              <w:pStyle w:val="TableContents"/>
              <w:bidi w:val="0"/>
              <w:rPr/>
            </w:pPr>
            <w:r>
              <w:rPr>
                <w:b/>
              </w:rPr>
              <w:t>8 hours</w:t>
            </w:r>
          </w:p>
        </w:tc>
      </w:tr>
      <w:tr>
        <w:trPr/>
        <w:tc>
          <w:tcPr>
            <w:tcW w:w="3212" w:type="dxa"/>
            <w:tcBorders>
              <w:start w:val="single" w:sz="4" w:space="0" w:color="000000"/>
              <w:bottom w:val="single" w:sz="4" w:space="0" w:color="000000"/>
            </w:tcBorders>
          </w:tcPr>
          <w:p>
            <w:pPr>
              <w:pStyle w:val="TableContents"/>
              <w:bidi w:val="0"/>
              <w:jc w:val="start"/>
              <w:rPr/>
            </w:pPr>
            <w:r>
              <w:rPr/>
              <w:t>P2 — Functional Impairment</w:t>
            </w:r>
          </w:p>
        </w:tc>
        <w:tc>
          <w:tcPr>
            <w:tcW w:w="3213" w:type="dxa"/>
            <w:tcBorders>
              <w:start w:val="single" w:sz="4" w:space="0" w:color="000000"/>
              <w:bottom w:val="single" w:sz="4" w:space="0" w:color="000000"/>
            </w:tcBorders>
          </w:tcPr>
          <w:p>
            <w:pPr>
              <w:pStyle w:val="TableContents"/>
              <w:bidi w:val="0"/>
              <w:jc w:val="start"/>
              <w:rPr/>
            </w:pPr>
            <w:r>
              <w:rPr/>
              <w:t>Non-critical feature failure</w:t>
            </w:r>
          </w:p>
        </w:tc>
        <w:tc>
          <w:tcPr>
            <w:tcW w:w="3213" w:type="dxa"/>
            <w:tcBorders>
              <w:start w:val="single" w:sz="4" w:space="0" w:color="000000"/>
              <w:bottom w:val="single" w:sz="4" w:space="0" w:color="000000"/>
              <w:end w:val="single" w:sz="4" w:space="0" w:color="000000"/>
            </w:tcBorders>
          </w:tcPr>
          <w:p>
            <w:pPr>
              <w:pStyle w:val="TableContents"/>
              <w:bidi w:val="0"/>
              <w:rPr/>
            </w:pPr>
            <w:r>
              <w:rPr>
                <w:b/>
              </w:rPr>
              <w:t>3 business days</w:t>
            </w:r>
          </w:p>
        </w:tc>
      </w:tr>
      <w:tr>
        <w:trPr/>
        <w:tc>
          <w:tcPr>
            <w:tcW w:w="3212" w:type="dxa"/>
            <w:tcBorders>
              <w:start w:val="single" w:sz="4" w:space="0" w:color="000000"/>
              <w:bottom w:val="single" w:sz="4" w:space="0" w:color="000000"/>
            </w:tcBorders>
          </w:tcPr>
          <w:p>
            <w:pPr>
              <w:pStyle w:val="TableContents"/>
              <w:bidi w:val="0"/>
              <w:jc w:val="start"/>
              <w:rPr/>
            </w:pPr>
            <w:r>
              <w:rPr/>
              <w:t>P3 — Minor / Informational</w:t>
            </w:r>
          </w:p>
        </w:tc>
        <w:tc>
          <w:tcPr>
            <w:tcW w:w="3213" w:type="dxa"/>
            <w:tcBorders>
              <w:start w:val="single" w:sz="4" w:space="0" w:color="000000"/>
              <w:bottom w:val="single" w:sz="4" w:space="0" w:color="000000"/>
            </w:tcBorders>
          </w:tcPr>
          <w:p>
            <w:pPr>
              <w:pStyle w:val="TableContents"/>
              <w:bidi w:val="0"/>
              <w:jc w:val="start"/>
              <w:rPr/>
            </w:pPr>
            <w:r>
              <w:rPr/>
              <w:t>All other inquiries</w:t>
            </w:r>
          </w:p>
        </w:tc>
        <w:tc>
          <w:tcPr>
            <w:tcW w:w="3213" w:type="dxa"/>
            <w:tcBorders>
              <w:start w:val="single" w:sz="4" w:space="0" w:color="000000"/>
              <w:bottom w:val="single" w:sz="4" w:space="0" w:color="000000"/>
              <w:end w:val="single" w:sz="4" w:space="0" w:color="000000"/>
            </w:tcBorders>
          </w:tcPr>
          <w:p>
            <w:pPr>
              <w:pStyle w:val="TableContents"/>
              <w:bidi w:val="0"/>
              <w:rPr/>
            </w:pPr>
            <w:r>
              <w:rPr>
                <w:b/>
              </w:rPr>
              <w:t>5 business days</w:t>
            </w:r>
          </w:p>
        </w:tc>
      </w:tr>
    </w:tbl>
    <w:p>
      <w:pPr>
        <w:pStyle w:val="BodyText"/>
        <w:bidi w:val="0"/>
        <w:rPr/>
      </w:pPr>
      <w:r>
        <w:rPr/>
      </w:r>
    </w:p>
    <w:p>
      <w:pPr>
        <w:pStyle w:val="HorizontalLine"/>
        <w:bidi w:val="0"/>
        <w:rPr/>
      </w:pPr>
      <w:r>
        <w:rPr/>
      </w:r>
    </w:p>
    <w:p>
      <w:pPr>
        <w:pStyle w:val="Heading2"/>
        <w:bidi w:val="0"/>
        <w:ind w:hanging="0" w:start="0"/>
        <w:rPr/>
      </w:pPr>
      <w:r>
        <w:rPr/>
        <w:t>3. Uptime Measurement Methodology</w:t>
      </w:r>
    </w:p>
    <w:p>
      <w:pPr>
        <w:pStyle w:val="Heading3"/>
        <w:bidi w:val="0"/>
        <w:ind w:hanging="0" w:start="0"/>
        <w:rPr/>
      </w:pPr>
      <w:r>
        <w:rPr/>
        <w:t>3.1 Definition of Availability</w:t>
      </w:r>
    </w:p>
    <w:p>
      <w:pPr>
        <w:pStyle w:val="BodyText"/>
        <w:bidi w:val="0"/>
        <w:rPr/>
      </w:pPr>
      <w:r>
        <w:rPr/>
        <w:t>Monthly Uptime Percentage is calculated as follows:</w:t>
      </w:r>
    </w:p>
    <w:p>
      <w:pPr>
        <w:pStyle w:val="PreformattedText"/>
        <w:shd w:fill="E1E1E1" w:val="clear"/>
        <w:bidi w:val="0"/>
        <w:spacing w:before="0" w:after="283"/>
        <w:rPr/>
      </w:pPr>
      <w:r>
        <w:rPr/>
        <w:t>Monthly Uptime (%) = ((Total Minutes in Month − Downtime Minutes) / Total Minutes in Month) × 100</w:t>
      </w:r>
    </w:p>
    <w:p>
      <w:pPr>
        <w:pStyle w:val="BodyText"/>
        <w:bidi w:val="0"/>
        <w:rPr/>
      </w:pPr>
      <w:r>
        <w:rPr>
          <w:b/>
        </w:rPr>
        <w:t>Downtime</w:t>
      </w:r>
      <w:r>
        <w:rPr/>
        <w:t xml:space="preserve"> is defined as any continuous period of 5 minutes or longer during which the DocuQuery API Gateway returns HTTP 5xx responses for more than 50% of requests, as measured by the external uptime monitoring agent polling </w:t>
      </w:r>
      <w:r>
        <w:rPr>
          <w:rFonts w:ascii="Liberation Mono" w:hAnsi="Liberation Mono"/>
        </w:rPr>
        <w:t>GET /api/v1/health/</w:t>
      </w:r>
      <w:r>
        <w:rPr/>
        <w:t xml:space="preserve"> at 60-second intervals.</w:t>
      </w:r>
    </w:p>
    <w:p>
      <w:pPr>
        <w:pStyle w:val="Heading3"/>
        <w:bidi w:val="0"/>
        <w:ind w:hanging="0" w:start="0"/>
        <w:rPr/>
      </w:pPr>
      <w:r>
        <w:rPr/>
        <w:t>3.2 Exclusions</w:t>
      </w:r>
    </w:p>
    <w:p>
      <w:pPr>
        <w:pStyle w:val="BodyText"/>
        <w:bidi w:val="0"/>
        <w:rPr/>
      </w:pPr>
      <w:r>
        <w:rPr/>
        <w:t>The following periods do not count toward Downtime for the purposes of SLA calculation:</w:t>
      </w:r>
    </w:p>
    <w:p>
      <w:pPr>
        <w:pStyle w:val="BodyText"/>
        <w:numPr>
          <w:ilvl w:val="0"/>
          <w:numId w:val="3"/>
        </w:numPr>
        <w:tabs>
          <w:tab w:val="clear" w:pos="709"/>
          <w:tab w:val="left" w:pos="709" w:leader="none"/>
        </w:tabs>
        <w:bidi w:val="0"/>
        <w:ind w:hanging="283" w:start="709"/>
        <w:rPr/>
      </w:pPr>
      <w:r>
        <w:rPr/>
        <w:t>Scheduled maintenance windows communicated via the status page at least 72 hours in advance.</w:t>
      </w:r>
    </w:p>
    <w:p>
      <w:pPr>
        <w:pStyle w:val="BodyText"/>
        <w:numPr>
          <w:ilvl w:val="0"/>
          <w:numId w:val="3"/>
        </w:numPr>
        <w:tabs>
          <w:tab w:val="clear" w:pos="709"/>
          <w:tab w:val="left" w:pos="709" w:leader="none"/>
        </w:tabs>
        <w:bidi w:val="0"/>
        <w:ind w:hanging="283" w:start="709"/>
        <w:rPr/>
      </w:pPr>
      <w:r>
        <w:rPr/>
        <w:t>Downtime attributable to client misuse, unauthorised modifications, or integration errors originating from the client's infrastructure.</w:t>
      </w:r>
    </w:p>
    <w:p>
      <w:pPr>
        <w:pStyle w:val="BodyText"/>
        <w:numPr>
          <w:ilvl w:val="0"/>
          <w:numId w:val="3"/>
        </w:numPr>
        <w:tabs>
          <w:tab w:val="clear" w:pos="709"/>
          <w:tab w:val="left" w:pos="709" w:leader="none"/>
        </w:tabs>
        <w:bidi w:val="0"/>
        <w:ind w:hanging="283" w:start="709"/>
        <w:rPr/>
      </w:pPr>
      <w:r>
        <w:rPr/>
        <w:t>Force majeure events: natural disasters, widespread internet infrastructure failures, or government-mandated service suspensions.</w:t>
      </w:r>
    </w:p>
    <w:p>
      <w:pPr>
        <w:pStyle w:val="BodyText"/>
        <w:numPr>
          <w:ilvl w:val="0"/>
          <w:numId w:val="3"/>
        </w:numPr>
        <w:tabs>
          <w:tab w:val="clear" w:pos="709"/>
          <w:tab w:val="left" w:pos="709" w:leader="none"/>
        </w:tabs>
        <w:bidi w:val="0"/>
        <w:ind w:hanging="283" w:start="709"/>
        <w:rPr/>
      </w:pPr>
      <w:r>
        <w:rPr/>
        <w:t>Third-party provider outages (e.g. OpenAI API unavailability) that are outside DocuQuery's direct control, provided DocuQuery activates its circuit-breaker fallback mode within 15 minutes of detecting the upstream failure.</w:t>
      </w:r>
    </w:p>
    <w:p>
      <w:pPr>
        <w:pStyle w:val="Heading3"/>
        <w:numPr>
          <w:ilvl w:val="0"/>
          <w:numId w:val="0"/>
        </w:numPr>
        <w:bidi w:val="0"/>
        <w:ind w:hanging="0" w:start="0"/>
        <w:rPr/>
      </w:pPr>
      <w:r>
        <w:rPr/>
        <w:t>3.3 Status Page and Incident Communication</w:t>
      </w:r>
    </w:p>
    <w:p>
      <w:pPr>
        <w:pStyle w:val="BodyText"/>
        <w:bidi w:val="0"/>
        <w:rPr/>
      </w:pPr>
      <w:r>
        <w:rPr/>
        <w:t xml:space="preserve">Real-time service status is published at </w:t>
      </w:r>
      <w:r>
        <w:rPr>
          <w:rFonts w:ascii="Liberation Mono" w:hAnsi="Liberation Mono"/>
        </w:rPr>
        <w:t>status.docuquery.io</w:t>
      </w:r>
      <w:r>
        <w:rPr/>
        <w:t>. Subscribers receive automated email and webhook notifications upon incident creation, status updates, and resolution.</w:t>
      </w:r>
    </w:p>
    <w:p>
      <w:pPr>
        <w:pStyle w:val="HorizontalLine"/>
        <w:bidi w:val="0"/>
        <w:rPr/>
      </w:pPr>
      <w:r>
        <w:rPr/>
      </w:r>
    </w:p>
    <w:p>
      <w:pPr>
        <w:pStyle w:val="Heading2"/>
        <w:bidi w:val="0"/>
        <w:ind w:hanging="0" w:start="0"/>
        <w:rPr/>
      </w:pPr>
      <w:r>
        <w:rPr/>
        <w:t>4. Financial Remedy Terms (Service Credits)</w:t>
      </w:r>
    </w:p>
    <w:p>
      <w:pPr>
        <w:pStyle w:val="BodyText"/>
        <w:bidi w:val="0"/>
        <w:rPr/>
      </w:pPr>
      <w:r>
        <w:rPr/>
        <w:t>When Monthly Uptime falls below the contracted tier threshold, subscribers are entitled to Service Credits applied to future invoices. Credits are the sole and exclusive remedy for SLA breaches; they do not entitle the subscriber to monetary refunds.</w:t>
      </w:r>
    </w:p>
    <w:p>
      <w:pPr>
        <w:pStyle w:val="Heading3"/>
        <w:bidi w:val="0"/>
        <w:ind w:hanging="0" w:start="0"/>
        <w:rPr/>
      </w:pPr>
      <w:r>
        <w:rPr/>
        <w:t>4.1 Tier 1 — Enterprise Platinum Credits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Achieved Monthly Uptime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Credit (% of Monthly Fee)</w:t>
            </w:r>
          </w:p>
        </w:tc>
      </w:tr>
      <w:tr>
        <w:trPr/>
        <w:tc>
          <w:tcPr>
            <w:tcW w:w="4819" w:type="dxa"/>
            <w:tcBorders>
              <w:start w:val="single" w:sz="4" w:space="0" w:color="000000"/>
              <w:bottom w:val="single" w:sz="4" w:space="0" w:color="000000"/>
            </w:tcBorders>
          </w:tcPr>
          <w:p>
            <w:pPr>
              <w:pStyle w:val="TableContents"/>
              <w:bidi w:val="0"/>
              <w:jc w:val="start"/>
              <w:rPr/>
            </w:pPr>
            <w:r>
              <w:rPr/>
              <w:t>99.90% – 99.94%</w:t>
            </w:r>
          </w:p>
        </w:tc>
        <w:tc>
          <w:tcPr>
            <w:tcW w:w="4819" w:type="dxa"/>
            <w:tcBorders>
              <w:start w:val="single" w:sz="4" w:space="0" w:color="000000"/>
              <w:bottom w:val="single" w:sz="4" w:space="0" w:color="000000"/>
              <w:end w:val="single" w:sz="4" w:space="0" w:color="000000"/>
            </w:tcBorders>
          </w:tcPr>
          <w:p>
            <w:pPr>
              <w:pStyle w:val="TableContents"/>
              <w:bidi w:val="0"/>
              <w:rPr/>
            </w:pPr>
            <w:r>
              <w:rPr>
                <w:b/>
              </w:rPr>
              <w:t>10%</w:t>
            </w:r>
          </w:p>
        </w:tc>
      </w:tr>
      <w:tr>
        <w:trPr/>
        <w:tc>
          <w:tcPr>
            <w:tcW w:w="4819" w:type="dxa"/>
            <w:tcBorders>
              <w:start w:val="single" w:sz="4" w:space="0" w:color="000000"/>
              <w:bottom w:val="single" w:sz="4" w:space="0" w:color="000000"/>
            </w:tcBorders>
          </w:tcPr>
          <w:p>
            <w:pPr>
              <w:pStyle w:val="TableContents"/>
              <w:bidi w:val="0"/>
              <w:jc w:val="start"/>
              <w:rPr/>
            </w:pPr>
            <w:r>
              <w:rPr/>
              <w:t>99.50% – 99.89%</w:t>
            </w:r>
          </w:p>
        </w:tc>
        <w:tc>
          <w:tcPr>
            <w:tcW w:w="4819" w:type="dxa"/>
            <w:tcBorders>
              <w:start w:val="single" w:sz="4" w:space="0" w:color="000000"/>
              <w:bottom w:val="single" w:sz="4" w:space="0" w:color="000000"/>
              <w:end w:val="single" w:sz="4" w:space="0" w:color="000000"/>
            </w:tcBorders>
          </w:tcPr>
          <w:p>
            <w:pPr>
              <w:pStyle w:val="TableContents"/>
              <w:bidi w:val="0"/>
              <w:rPr/>
            </w:pPr>
            <w:r>
              <w:rPr>
                <w:b/>
              </w:rPr>
              <w:t>25%</w:t>
            </w:r>
          </w:p>
        </w:tc>
      </w:tr>
      <w:tr>
        <w:trPr/>
        <w:tc>
          <w:tcPr>
            <w:tcW w:w="4819" w:type="dxa"/>
            <w:tcBorders>
              <w:start w:val="single" w:sz="4" w:space="0" w:color="000000"/>
              <w:bottom w:val="single" w:sz="4" w:space="0" w:color="000000"/>
            </w:tcBorders>
          </w:tcPr>
          <w:p>
            <w:pPr>
              <w:pStyle w:val="TableContents"/>
              <w:bidi w:val="0"/>
              <w:jc w:val="start"/>
              <w:rPr/>
            </w:pPr>
            <w:r>
              <w:rPr/>
              <w:t>99.00% – 99.49%</w:t>
            </w:r>
          </w:p>
        </w:tc>
        <w:tc>
          <w:tcPr>
            <w:tcW w:w="4819" w:type="dxa"/>
            <w:tcBorders>
              <w:start w:val="single" w:sz="4" w:space="0" w:color="000000"/>
              <w:bottom w:val="single" w:sz="4" w:space="0" w:color="000000"/>
              <w:end w:val="single" w:sz="4" w:space="0" w:color="000000"/>
            </w:tcBorders>
          </w:tcPr>
          <w:p>
            <w:pPr>
              <w:pStyle w:val="TableContents"/>
              <w:bidi w:val="0"/>
              <w:rPr/>
            </w:pPr>
            <w:r>
              <w:rPr>
                <w:b/>
              </w:rPr>
              <w:t>50%</w:t>
            </w:r>
          </w:p>
        </w:tc>
      </w:tr>
      <w:tr>
        <w:trPr/>
        <w:tc>
          <w:tcPr>
            <w:tcW w:w="4819" w:type="dxa"/>
            <w:tcBorders>
              <w:start w:val="single" w:sz="4" w:space="0" w:color="000000"/>
              <w:bottom w:val="single" w:sz="4" w:space="0" w:color="000000"/>
            </w:tcBorders>
          </w:tcPr>
          <w:p>
            <w:pPr>
              <w:pStyle w:val="TableContents"/>
              <w:bidi w:val="0"/>
              <w:jc w:val="start"/>
              <w:rPr/>
            </w:pPr>
            <w:r>
              <w:rPr/>
              <w:t>Below 99.00%</w:t>
            </w:r>
          </w:p>
        </w:tc>
        <w:tc>
          <w:tcPr>
            <w:tcW w:w="4819" w:type="dxa"/>
            <w:tcBorders>
              <w:start w:val="single" w:sz="4" w:space="0" w:color="000000"/>
              <w:bottom w:val="single" w:sz="4" w:space="0" w:color="000000"/>
              <w:end w:val="single" w:sz="4" w:space="0" w:color="000000"/>
            </w:tcBorders>
          </w:tcPr>
          <w:p>
            <w:pPr>
              <w:pStyle w:val="TableContents"/>
              <w:bidi w:val="0"/>
              <w:rPr/>
            </w:pPr>
            <w:r>
              <w:rPr>
                <w:b/>
              </w:rPr>
              <w:t>100%</w:t>
            </w:r>
          </w:p>
        </w:tc>
      </w:tr>
    </w:tbl>
    <w:p>
      <w:pPr>
        <w:pStyle w:val="BodyText"/>
        <w:bidi w:val="0"/>
        <w:rPr/>
      </w:pPr>
      <w:r>
        <w:rPr/>
      </w:r>
    </w:p>
    <w:p>
      <w:pPr>
        <w:pStyle w:val="Heading3"/>
        <w:bidi w:val="0"/>
        <w:ind w:hanging="0" w:start="0"/>
        <w:rPr/>
      </w:pPr>
      <w:r>
        <w:rPr/>
        <w:t>4.2 Tier 2 — Enterprise Standard Credits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Achieved Monthly Uptime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Credit (% of Monthly Fee)</w:t>
            </w:r>
          </w:p>
        </w:tc>
      </w:tr>
      <w:tr>
        <w:trPr/>
        <w:tc>
          <w:tcPr>
            <w:tcW w:w="4819" w:type="dxa"/>
            <w:tcBorders>
              <w:start w:val="single" w:sz="4" w:space="0" w:color="000000"/>
              <w:bottom w:val="single" w:sz="4" w:space="0" w:color="000000"/>
            </w:tcBorders>
          </w:tcPr>
          <w:p>
            <w:pPr>
              <w:pStyle w:val="TableContents"/>
              <w:bidi w:val="0"/>
              <w:jc w:val="start"/>
              <w:rPr/>
            </w:pPr>
            <w:r>
              <w:rPr/>
              <w:t>99.50% – 99.89%</w:t>
            </w:r>
          </w:p>
        </w:tc>
        <w:tc>
          <w:tcPr>
            <w:tcW w:w="4819" w:type="dxa"/>
            <w:tcBorders>
              <w:start w:val="single" w:sz="4" w:space="0" w:color="000000"/>
              <w:bottom w:val="single" w:sz="4" w:space="0" w:color="000000"/>
              <w:end w:val="single" w:sz="4" w:space="0" w:color="000000"/>
            </w:tcBorders>
          </w:tcPr>
          <w:p>
            <w:pPr>
              <w:pStyle w:val="TableContents"/>
              <w:bidi w:val="0"/>
              <w:rPr/>
            </w:pPr>
            <w:r>
              <w:rPr>
                <w:b/>
              </w:rPr>
              <w:t>10%</w:t>
            </w:r>
          </w:p>
        </w:tc>
      </w:tr>
      <w:tr>
        <w:trPr/>
        <w:tc>
          <w:tcPr>
            <w:tcW w:w="4819" w:type="dxa"/>
            <w:tcBorders>
              <w:start w:val="single" w:sz="4" w:space="0" w:color="000000"/>
              <w:bottom w:val="single" w:sz="4" w:space="0" w:color="000000"/>
            </w:tcBorders>
          </w:tcPr>
          <w:p>
            <w:pPr>
              <w:pStyle w:val="TableContents"/>
              <w:bidi w:val="0"/>
              <w:jc w:val="start"/>
              <w:rPr/>
            </w:pPr>
            <w:r>
              <w:rPr/>
              <w:t>99.00% – 99.49%</w:t>
            </w:r>
          </w:p>
        </w:tc>
        <w:tc>
          <w:tcPr>
            <w:tcW w:w="4819" w:type="dxa"/>
            <w:tcBorders>
              <w:start w:val="single" w:sz="4" w:space="0" w:color="000000"/>
              <w:bottom w:val="single" w:sz="4" w:space="0" w:color="000000"/>
              <w:end w:val="single" w:sz="4" w:space="0" w:color="000000"/>
            </w:tcBorders>
          </w:tcPr>
          <w:p>
            <w:pPr>
              <w:pStyle w:val="TableContents"/>
              <w:bidi w:val="0"/>
              <w:rPr/>
            </w:pPr>
            <w:r>
              <w:rPr>
                <w:b/>
              </w:rPr>
              <w:t>25%</w:t>
            </w:r>
          </w:p>
        </w:tc>
      </w:tr>
      <w:tr>
        <w:trPr/>
        <w:tc>
          <w:tcPr>
            <w:tcW w:w="4819" w:type="dxa"/>
            <w:tcBorders>
              <w:start w:val="single" w:sz="4" w:space="0" w:color="000000"/>
              <w:bottom w:val="single" w:sz="4" w:space="0" w:color="000000"/>
            </w:tcBorders>
          </w:tcPr>
          <w:p>
            <w:pPr>
              <w:pStyle w:val="TableContents"/>
              <w:bidi w:val="0"/>
              <w:jc w:val="start"/>
              <w:rPr/>
            </w:pPr>
            <w:r>
              <w:rPr/>
              <w:t>Below 99.00%</w:t>
            </w:r>
          </w:p>
        </w:tc>
        <w:tc>
          <w:tcPr>
            <w:tcW w:w="4819" w:type="dxa"/>
            <w:tcBorders>
              <w:start w:val="single" w:sz="4" w:space="0" w:color="000000"/>
              <w:bottom w:val="single" w:sz="4" w:space="0" w:color="000000"/>
              <w:end w:val="single" w:sz="4" w:space="0" w:color="000000"/>
            </w:tcBorders>
          </w:tcPr>
          <w:p>
            <w:pPr>
              <w:pStyle w:val="TableContents"/>
              <w:bidi w:val="0"/>
              <w:rPr/>
            </w:pPr>
            <w:r>
              <w:rPr>
                <w:b/>
              </w:rPr>
              <w:t>50%</w:t>
            </w:r>
          </w:p>
        </w:tc>
      </w:tr>
    </w:tbl>
    <w:p>
      <w:pPr>
        <w:pStyle w:val="BodyText"/>
        <w:bidi w:val="0"/>
        <w:rPr/>
      </w:pPr>
      <w:r>
        <w:rPr/>
      </w:r>
    </w:p>
    <w:p>
      <w:pPr>
        <w:pStyle w:val="Heading3"/>
        <w:bidi w:val="0"/>
        <w:ind w:hanging="0" w:start="0"/>
        <w:rPr/>
      </w:pPr>
      <w:r>
        <w:rPr/>
        <w:t>4.3 Tier 3 — Business Credits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Achieved Monthly Uptime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Credit (% of Monthly Fee)</w:t>
            </w:r>
          </w:p>
        </w:tc>
      </w:tr>
      <w:tr>
        <w:trPr/>
        <w:tc>
          <w:tcPr>
            <w:tcW w:w="4819" w:type="dxa"/>
            <w:tcBorders>
              <w:start w:val="single" w:sz="4" w:space="0" w:color="000000"/>
              <w:bottom w:val="single" w:sz="4" w:space="0" w:color="000000"/>
            </w:tcBorders>
          </w:tcPr>
          <w:p>
            <w:pPr>
              <w:pStyle w:val="TableContents"/>
              <w:bidi w:val="0"/>
              <w:jc w:val="start"/>
              <w:rPr/>
            </w:pPr>
            <w:r>
              <w:rPr/>
              <w:t>99.00% – 99.49%</w:t>
            </w:r>
          </w:p>
        </w:tc>
        <w:tc>
          <w:tcPr>
            <w:tcW w:w="4819" w:type="dxa"/>
            <w:tcBorders>
              <w:start w:val="single" w:sz="4" w:space="0" w:color="000000"/>
              <w:bottom w:val="single" w:sz="4" w:space="0" w:color="000000"/>
              <w:end w:val="single" w:sz="4" w:space="0" w:color="000000"/>
            </w:tcBorders>
          </w:tcPr>
          <w:p>
            <w:pPr>
              <w:pStyle w:val="TableContents"/>
              <w:bidi w:val="0"/>
              <w:rPr/>
            </w:pPr>
            <w:r>
              <w:rPr>
                <w:b/>
              </w:rPr>
              <w:t>5%</w:t>
            </w:r>
          </w:p>
        </w:tc>
      </w:tr>
      <w:tr>
        <w:trPr/>
        <w:tc>
          <w:tcPr>
            <w:tcW w:w="4819" w:type="dxa"/>
            <w:tcBorders>
              <w:start w:val="single" w:sz="4" w:space="0" w:color="000000"/>
              <w:bottom w:val="single" w:sz="4" w:space="0" w:color="000000"/>
            </w:tcBorders>
          </w:tcPr>
          <w:p>
            <w:pPr>
              <w:pStyle w:val="TableContents"/>
              <w:bidi w:val="0"/>
              <w:jc w:val="start"/>
              <w:rPr/>
            </w:pPr>
            <w:r>
              <w:rPr/>
              <w:t>Below 99.00%</w:t>
            </w:r>
          </w:p>
        </w:tc>
        <w:tc>
          <w:tcPr>
            <w:tcW w:w="4819" w:type="dxa"/>
            <w:tcBorders>
              <w:start w:val="single" w:sz="4" w:space="0" w:color="000000"/>
              <w:bottom w:val="single" w:sz="4" w:space="0" w:color="000000"/>
              <w:end w:val="single" w:sz="4" w:space="0" w:color="000000"/>
            </w:tcBorders>
          </w:tcPr>
          <w:p>
            <w:pPr>
              <w:pStyle w:val="TableContents"/>
              <w:bidi w:val="0"/>
              <w:rPr/>
            </w:pPr>
            <w:r>
              <w:rPr>
                <w:b/>
              </w:rPr>
              <w:t>15%</w:t>
            </w:r>
          </w:p>
        </w:tc>
      </w:tr>
    </w:tbl>
    <w:p>
      <w:pPr>
        <w:pStyle w:val="BodyText"/>
        <w:bidi w:val="0"/>
        <w:rPr/>
      </w:pPr>
      <w:r>
        <w:rPr/>
      </w:r>
    </w:p>
    <w:p>
      <w:pPr>
        <w:pStyle w:val="Heading3"/>
        <w:bidi w:val="0"/>
        <w:ind w:hanging="0" w:start="0"/>
        <w:rPr/>
      </w:pPr>
      <w:r>
        <w:rPr/>
        <w:t>4.4 Credit Request Procedure</w:t>
      </w:r>
    </w:p>
    <w:p>
      <w:pPr>
        <w:pStyle w:val="BodyText"/>
        <w:bidi w:val="0"/>
        <w:rPr/>
      </w:pPr>
      <w:r>
        <w:rPr/>
        <w:t>Subscribers must submit a credit request within 30 calendar days of the end of the affected service month. Requests are submitted via the customer portal and must include the affected time range and the incident reference number(s) from the status page. DocuQuery will evaluate and respond within 10 business days.</w:t>
      </w:r>
    </w:p>
    <w:p>
      <w:pPr>
        <w:pStyle w:val="HorizontalLine"/>
        <w:bidi w:val="0"/>
        <w:rPr/>
      </w:pPr>
      <w:r>
        <w:rPr/>
      </w:r>
    </w:p>
    <w:p>
      <w:pPr>
        <w:pStyle w:val="Heading2"/>
        <w:bidi w:val="0"/>
        <w:ind w:hanging="0" w:start="0"/>
        <w:rPr/>
      </w:pPr>
      <w:r>
        <w:rPr/>
        <w:t>5. Data Retention and Portability</w:t>
      </w:r>
    </w:p>
    <w:p>
      <w:pPr>
        <w:pStyle w:val="Heading3"/>
        <w:bidi w:val="0"/>
        <w:ind w:hanging="0" w:start="0"/>
        <w:rPr/>
      </w:pPr>
      <w:r>
        <w:rPr/>
        <w:t>5.1 Vector Index Retention</w:t>
      </w:r>
    </w:p>
    <w:p>
      <w:pPr>
        <w:pStyle w:val="BodyText"/>
        <w:bidi w:val="0"/>
        <w:rPr/>
      </w:pPr>
      <w:r>
        <w:rPr/>
        <w:t>Indexed document embeddings are retained for the full duration of the active subscription. Upon contract termination or non-renewal:</w:t>
      </w:r>
    </w:p>
    <w:p>
      <w:pPr>
        <w:pStyle w:val="BodyText"/>
        <w:numPr>
          <w:ilvl w:val="0"/>
          <w:numId w:val="4"/>
        </w:numPr>
        <w:tabs>
          <w:tab w:val="clear" w:pos="709"/>
          <w:tab w:val="left" w:pos="709" w:leader="none"/>
        </w:tabs>
        <w:bidi w:val="0"/>
        <w:ind w:hanging="283" w:start="709"/>
        <w:rPr/>
      </w:pPr>
      <w:r>
        <w:rPr>
          <w:b/>
        </w:rPr>
        <w:t>Enterprise Platinum:</w:t>
      </w:r>
      <w:r>
        <w:rPr/>
        <w:t xml:space="preserve"> 90-day data retention window post-termination; vectorised data export available in JSON Lines format on request.</w:t>
      </w:r>
    </w:p>
    <w:p>
      <w:pPr>
        <w:pStyle w:val="BodyText"/>
        <w:numPr>
          <w:ilvl w:val="0"/>
          <w:numId w:val="4"/>
        </w:numPr>
        <w:tabs>
          <w:tab w:val="clear" w:pos="709"/>
          <w:tab w:val="left" w:pos="709" w:leader="none"/>
        </w:tabs>
        <w:bidi w:val="0"/>
        <w:ind w:hanging="283" w:start="709"/>
        <w:rPr/>
      </w:pPr>
      <w:r>
        <w:rPr>
          <w:b/>
        </w:rPr>
        <w:t>Enterprise Standard:</w:t>
      </w:r>
      <w:r>
        <w:rPr/>
        <w:t xml:space="preserve"> 60-day retention window; self-service export via the Admin API.</w:t>
      </w:r>
    </w:p>
    <w:p>
      <w:pPr>
        <w:pStyle w:val="BodyText"/>
        <w:numPr>
          <w:ilvl w:val="0"/>
          <w:numId w:val="4"/>
        </w:numPr>
        <w:tabs>
          <w:tab w:val="clear" w:pos="709"/>
          <w:tab w:val="left" w:pos="709" w:leader="none"/>
        </w:tabs>
        <w:bidi w:val="0"/>
        <w:ind w:hanging="283" w:start="709"/>
        <w:rPr/>
      </w:pPr>
      <w:r>
        <w:rPr>
          <w:b/>
        </w:rPr>
        <w:t>Business:</w:t>
      </w:r>
      <w:r>
        <w:rPr/>
        <w:t xml:space="preserve"> 30-day retention window; no export capability; data is deleted after the window expires.</w:t>
      </w:r>
    </w:p>
    <w:p>
      <w:pPr>
        <w:pStyle w:val="Heading3"/>
        <w:numPr>
          <w:ilvl w:val="0"/>
          <w:numId w:val="0"/>
        </w:numPr>
        <w:bidi w:val="0"/>
        <w:ind w:hanging="0" w:start="0"/>
        <w:rPr/>
      </w:pPr>
      <w:r>
        <w:rPr/>
        <w:t>5.2 Audit Telemetry Retention</w:t>
      </w:r>
    </w:p>
    <w:p>
      <w:pPr>
        <w:pStyle w:val="BodyText"/>
        <w:bidi w:val="0"/>
        <w:rPr/>
      </w:pPr>
      <w:r>
        <w:rPr/>
        <w:t>Query telemetry logs (stored in the SQLite audit trail) are retained for 24 months for Enterprise Platinum subscribers and 12 months for Enterprise Standard and Business tiers, to support compliance, cost attribution, and audit requirements.</w:t>
      </w:r>
    </w:p>
    <w:p>
      <w:pPr>
        <w:pStyle w:val="HorizontalLine"/>
        <w:bidi w:val="0"/>
        <w:rPr/>
      </w:pPr>
      <w:r>
        <w:rPr/>
      </w:r>
    </w:p>
    <w:p>
      <w:pPr>
        <w:pStyle w:val="Heading2"/>
        <w:bidi w:val="0"/>
        <w:ind w:hanging="0" w:start="0"/>
        <w:rPr/>
      </w:pPr>
      <w:r>
        <w:rPr/>
        <w:t>6. Escalation and Governance</w:t>
      </w:r>
    </w:p>
    <w:p>
      <w:pPr>
        <w:pStyle w:val="Heading3"/>
        <w:bidi w:val="0"/>
        <w:ind w:hanging="0" w:start="0"/>
        <w:rPr/>
      </w:pPr>
      <w:r>
        <w:rPr/>
        <w:t>6.1 Escalation Path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Contact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w:t>
            </w:r>
          </w:p>
        </w:tc>
      </w:tr>
      <w:tr>
        <w:trPr/>
        <w:tc>
          <w:tcPr>
            <w:tcW w:w="3212" w:type="dxa"/>
            <w:tcBorders>
              <w:start w:val="single" w:sz="4" w:space="0" w:color="000000"/>
              <w:bottom w:val="single" w:sz="4" w:space="0" w:color="000000"/>
            </w:tcBorders>
          </w:tcPr>
          <w:p>
            <w:pPr>
              <w:pStyle w:val="TableContents"/>
              <w:bidi w:val="0"/>
              <w:jc w:val="start"/>
              <w:rPr/>
            </w:pPr>
            <w:r>
              <w:rPr/>
              <w:t>Level 1</w:t>
            </w:r>
          </w:p>
        </w:tc>
        <w:tc>
          <w:tcPr>
            <w:tcW w:w="3213" w:type="dxa"/>
            <w:tcBorders>
              <w:start w:val="single" w:sz="4" w:space="0" w:color="000000"/>
              <w:bottom w:val="single" w:sz="4" w:space="0" w:color="000000"/>
            </w:tcBorders>
          </w:tcPr>
          <w:p>
            <w:pPr>
              <w:pStyle w:val="TableContents"/>
              <w:bidi w:val="0"/>
              <w:jc w:val="start"/>
              <w:rPr/>
            </w:pPr>
            <w:r>
              <w:rPr/>
              <w:t>Support Portal / CSM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Initial incident report</w:t>
            </w:r>
          </w:p>
        </w:tc>
      </w:tr>
      <w:tr>
        <w:trPr/>
        <w:tc>
          <w:tcPr>
            <w:tcW w:w="3212" w:type="dxa"/>
            <w:tcBorders>
              <w:start w:val="single" w:sz="4" w:space="0" w:color="000000"/>
              <w:bottom w:val="single" w:sz="4" w:space="0" w:color="000000"/>
            </w:tcBorders>
          </w:tcPr>
          <w:p>
            <w:pPr>
              <w:pStyle w:val="TableContents"/>
              <w:bidi w:val="0"/>
              <w:jc w:val="start"/>
              <w:rPr/>
            </w:pPr>
            <w:r>
              <w:rPr/>
              <w:t>Level 2</w:t>
            </w:r>
          </w:p>
        </w:tc>
        <w:tc>
          <w:tcPr>
            <w:tcW w:w="3213" w:type="dxa"/>
            <w:tcBorders>
              <w:start w:val="single" w:sz="4" w:space="0" w:color="000000"/>
              <w:bottom w:val="single" w:sz="4" w:space="0" w:color="000000"/>
            </w:tcBorders>
          </w:tcPr>
          <w:p>
            <w:pPr>
              <w:pStyle w:val="TableContents"/>
              <w:bidi w:val="0"/>
              <w:jc w:val="start"/>
              <w:rPr/>
            </w:pPr>
            <w:r>
              <w:rPr/>
              <w:t>Engineering On-Call Lead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P0/P1 unresolved &gt; 30 minutes</w:t>
            </w:r>
          </w:p>
        </w:tc>
      </w:tr>
      <w:tr>
        <w:trPr/>
        <w:tc>
          <w:tcPr>
            <w:tcW w:w="3212" w:type="dxa"/>
            <w:tcBorders>
              <w:start w:val="single" w:sz="4" w:space="0" w:color="000000"/>
              <w:bottom w:val="single" w:sz="4" w:space="0" w:color="000000"/>
            </w:tcBorders>
          </w:tcPr>
          <w:p>
            <w:pPr>
              <w:pStyle w:val="TableContents"/>
              <w:bidi w:val="0"/>
              <w:jc w:val="start"/>
              <w:rPr/>
            </w:pPr>
            <w:r>
              <w:rPr/>
              <w:t>Level 3</w:t>
            </w:r>
          </w:p>
        </w:tc>
        <w:tc>
          <w:tcPr>
            <w:tcW w:w="3213" w:type="dxa"/>
            <w:tcBorders>
              <w:start w:val="single" w:sz="4" w:space="0" w:color="000000"/>
              <w:bottom w:val="single" w:sz="4" w:space="0" w:color="000000"/>
            </w:tcBorders>
          </w:tcPr>
          <w:p>
            <w:pPr>
              <w:pStyle w:val="TableContents"/>
              <w:bidi w:val="0"/>
              <w:jc w:val="start"/>
              <w:rPr/>
            </w:pPr>
            <w:r>
              <w:rPr/>
              <w:t>VP of Engineering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P0 unresolved &gt; 2 hours or significant data-loss risk</w:t>
            </w:r>
          </w:p>
        </w:tc>
      </w:tr>
      <w:tr>
        <w:trPr/>
        <w:tc>
          <w:tcPr>
            <w:tcW w:w="3212" w:type="dxa"/>
            <w:tcBorders>
              <w:start w:val="single" w:sz="4" w:space="0" w:color="000000"/>
              <w:bottom w:val="single" w:sz="4" w:space="0" w:color="000000"/>
            </w:tcBorders>
          </w:tcPr>
          <w:p>
            <w:pPr>
              <w:pStyle w:val="TableContents"/>
              <w:bidi w:val="0"/>
              <w:jc w:val="start"/>
              <w:rPr/>
            </w:pPr>
            <w:r>
              <w:rPr/>
              <w:t>Level 4</w:t>
            </w:r>
          </w:p>
        </w:tc>
        <w:tc>
          <w:tcPr>
            <w:tcW w:w="3213" w:type="dxa"/>
            <w:tcBorders>
              <w:start w:val="single" w:sz="4" w:space="0" w:color="000000"/>
              <w:bottom w:val="single" w:sz="4" w:space="0" w:color="000000"/>
            </w:tcBorders>
          </w:tcPr>
          <w:p>
            <w:pPr>
              <w:pStyle w:val="TableContents"/>
              <w:bidi w:val="0"/>
              <w:jc w:val="start"/>
              <w:rPr/>
            </w:pPr>
            <w:r>
              <w:rPr/>
              <w:t>C-Suite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Reputational risk, regulatory notification required</w:t>
            </w:r>
          </w:p>
        </w:tc>
      </w:tr>
    </w:tbl>
    <w:p>
      <w:pPr>
        <w:pStyle w:val="BodyText"/>
        <w:bidi w:val="0"/>
        <w:rPr/>
      </w:pPr>
      <w:r>
        <w:rPr/>
      </w:r>
    </w:p>
    <w:p>
      <w:pPr>
        <w:pStyle w:val="Heading3"/>
        <w:bidi w:val="0"/>
        <w:ind w:hanging="0" w:start="0"/>
        <w:rPr/>
      </w:pPr>
      <w:r>
        <w:rPr/>
        <w:t>6.2 SLA Review and Amendment</w:t>
      </w:r>
    </w:p>
    <w:p>
      <w:pPr>
        <w:pStyle w:val="BodyText"/>
        <w:bidi w:val="0"/>
        <w:rPr/>
      </w:pPr>
      <w:r>
        <w:rPr/>
        <w:t>This policy is reviewed annually. DocuQuery reserves the right to amend SLA terms with 60 days' written notice. Subscribers on multi-year contracts are grandfathered at the SLA terms in effect at their contract signature date for the duration of the term.</w:t>
      </w:r>
    </w:p>
    <w:p>
      <w:pPr>
        <w:pStyle w:val="HorizontalLine"/>
        <w:bidi w:val="0"/>
        <w:rPr/>
      </w:pPr>
      <w:r>
        <w:rPr/>
      </w:r>
    </w:p>
    <w:p>
      <w:pPr>
        <w:pStyle w:val="BodyText"/>
        <w:bidi w:val="0"/>
        <w:rPr/>
      </w:pPr>
      <w:r>
        <w:rPr>
          <w:i/>
        </w:rPr>
        <w:t>Document end — SLA-POL-2026-001 v3.2</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