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jc w:val="center"/>
      </w:pPr>
      <w:r>
        <w:rPr>
          <w:rFonts w:ascii="Times New Roman" w:cs="Times New Roman" w:eastAsia="Times New Roman" w:hAnsi="Times New Roman"/>
          <w:b/>
          <w:bCs/>
          <w:sz w:val="28"/>
          <w:szCs w:val="28"/>
        </w:rPr>
        <w:t xml:space="preserve">РОЗДІЛ 1. АНАЛІЗ ПРЕДМЕТНОЇ ОБЛАСТІ ТА ПОСТАНОВКА ЗАДАЧІ ДОСЛІДЖЕННЯ</w:t>
      </w:r>
    </w:p>
    <w:p>
      <w:pPr>
        <w:pStyle w:val="Heading2"/>
        <w:spacing w:after="160" w:before="320"/>
      </w:pPr>
      <w:r>
        <w:rPr>
          <w:rFonts w:ascii="Times New Roman" w:cs="Times New Roman" w:eastAsia="Times New Roman" w:hAnsi="Times New Roman"/>
          <w:b/>
          <w:bCs/>
          <w:sz w:val="26"/>
          <w:szCs w:val="26"/>
        </w:rPr>
        <w:t xml:space="preserve">1.1. Актуальність вибраної теми дослідження</w:t>
      </w:r>
    </w:p>
    <w:p>
      <w:pPr>
        <w:spacing w:after="160" w:line="360"/>
        <w:jc w:val="both"/>
      </w:pPr>
      <w:r>
        <w:rPr>
          <w:rFonts w:ascii="Times New Roman" w:cs="Times New Roman" w:eastAsia="Times New Roman" w:hAnsi="Times New Roman"/>
          <w:b w:val="false"/>
          <w:bCs w:val="false"/>
          <w:i w:val="false"/>
          <w:iCs w:val="false"/>
          <w:sz w:val="24"/>
          <w:szCs w:val="24"/>
        </w:rPr>
        <w:t xml:space="preserve">Малі підприємства роздрібної торгівлі, заклади громадського харчування та аптеки отримують товар від багатьох постачальників, які надають первинні документи у паперовій формі або у вигляді PDF без машиночитаної структури. Позиції таких документів вносяться до облікової системи вручну, що призводить до значних трудовитрат на приймання кожної поставки, помилок введення та розбіжностей між обліковими й фактичними залишками, а також несвоєчасного дозамовлення, що спричиняє дефіцит товару або втрачений виторг.</w:t>
      </w:r>
    </w:p>
    <w:p>
      <w:pPr>
        <w:spacing w:after="160" w:line="360"/>
        <w:jc w:val="both"/>
      </w:pPr>
      <w:r>
        <w:rPr>
          <w:rFonts w:ascii="Times New Roman" w:cs="Times New Roman" w:eastAsia="Times New Roman" w:hAnsi="Times New Roman"/>
          <w:b w:val="false"/>
          <w:bCs w:val="false"/>
          <w:i w:val="false"/>
          <w:iCs w:val="false"/>
          <w:sz w:val="24"/>
          <w:szCs w:val="24"/>
        </w:rPr>
        <w:t xml:space="preserve">Інженерна складність задачі визначається неструктурованістю вхідних даних (варіативність макетів накладних, якість фотографій, рукописні виправлення), семантичною неоднозначністю найменувань товарів у документах різних постачальників, вимогами до достовірності обліку (результат імовірнісної моделі розпізнавання не може змінювати залишки без контролю), ресурсоємністю обробки (асинхронне виконання з гарантіями доставки) та необхідністю вимірюваного підтвердження якості розпізнавання й зіставлення на контрольному наборі документів.</w:t>
      </w:r>
    </w:p>
    <w:p>
      <w:pPr>
        <w:pStyle w:val="Heading2"/>
        <w:spacing w:after="160" w:before="320"/>
      </w:pPr>
      <w:r>
        <w:rPr>
          <w:rFonts w:ascii="Times New Roman" w:cs="Times New Roman" w:eastAsia="Times New Roman" w:hAnsi="Times New Roman"/>
          <w:b/>
          <w:bCs/>
          <w:sz w:val="26"/>
          <w:szCs w:val="26"/>
        </w:rPr>
        <w:t xml:space="preserve">1.2. Огляд сучасних підходів до вирішення відповідних завдань в межах обраного дослідження</w:t>
      </w:r>
    </w:p>
    <w:p>
      <w:pPr>
        <w:spacing w:after="160" w:line="360"/>
        <w:jc w:val="both"/>
      </w:pPr>
      <w:r>
        <w:rPr>
          <w:rFonts w:ascii="Times New Roman" w:cs="Times New Roman" w:eastAsia="Times New Roman" w:hAnsi="Times New Roman"/>
          <w:b w:val="false"/>
          <w:bCs w:val="false"/>
          <w:i w:val="false"/>
          <w:iCs w:val="false"/>
          <w:sz w:val="24"/>
          <w:szCs w:val="24"/>
        </w:rPr>
        <w:t xml:space="preserve">Огляд сучасних підходів до автоматизованої обробки первинних документів ґрунтується на трьох технологічних напрямах. Перший напрям — класичні системи оптичного розпізнавання символів (OCR), що базуються на алгоритмах сегментації зображення та розпізнавання символів (Tesseract, PaddleOCR); вони забезпечують високу точність на друкованому тексті стандартного макету, проте втрачають точність на документах довільної структури з рукописними доповненнями. Другий напрям — мультимодальні великі мовні моделі (Vision-LLM), здатні одночасно аналізувати зображення документа та генерувати структурований вихід у форматі JSON без попереднього визначення шаблону макета; цей підхід, що набув поширення протягом 2023–2025 років, знижує залежність від жорстких шаблонів розпізнавання, однак вимагає додаткової валідації результату через імовірнісну природу генерації. Третій напрям — методи семантичного зіставлення текстових даних (нечіткий пошук, векторні ембедінги), застосовувані для розв'язання проблеми неоднозначності найменувань у товарних каталогах; гібридні підходи, що поєднують лексичну (триграмну) та семантичну (ембедінг-базовану) схожість, демонструють вищу точність зіставлення порівняно із застосуванням лише одного з методів.</w:t>
      </w:r>
    </w:p>
    <w:p>
      <w:pPr>
        <w:spacing w:after="160" w:line="360"/>
        <w:jc w:val="both"/>
      </w:pPr>
      <w:r>
        <w:rPr>
          <w:rFonts w:ascii="Times New Roman" w:cs="Times New Roman" w:eastAsia="Times New Roman" w:hAnsi="Times New Roman"/>
          <w:b w:val="false"/>
          <w:bCs w:val="false"/>
          <w:i w:val="false"/>
          <w:iCs w:val="false"/>
          <w:sz w:val="24"/>
          <w:szCs w:val="24"/>
        </w:rPr>
        <w:t xml:space="preserve">У сфері архітектурної реалізації таких систем домінуючим підходом станом на 2026 рік є подієво-керована асинхронна обробка документів із гарантіями доставки повідомлень (патерни Transactional Outbox, Idempotent Consumer), що дозволяє витримувати пікові навантаження без блокування основного потоку виконання запитів. Принцип Human-in-the-loop залишається обов'язковим елементом промислових рішень класу Intelligent Document Processing, оскільки повна автономність розпізнавання без верифікації користувачем визнається неприйнятною для фінансово значущих операцій обліку.</w:t>
      </w:r>
    </w:p>
    <w:p>
      <w:pPr>
        <w:pStyle w:val="Heading2"/>
        <w:spacing w:after="160" w:before="320"/>
      </w:pPr>
      <w:r>
        <w:rPr>
          <w:rFonts w:ascii="Times New Roman" w:cs="Times New Roman" w:eastAsia="Times New Roman" w:hAnsi="Times New Roman"/>
          <w:b/>
          <w:bCs/>
          <w:sz w:val="26"/>
          <w:szCs w:val="26"/>
        </w:rPr>
        <w:t xml:space="preserve">1.3. Аналіз та порівняння існуючих рішень на ринку готових програмних продуктів</w:t>
      </w:r>
    </w:p>
    <w:p>
      <w:pPr>
        <w:spacing w:after="160" w:line="360"/>
        <w:jc w:val="both"/>
      </w:pPr>
      <w:r>
        <w:rPr>
          <w:rFonts w:ascii="Times New Roman" w:cs="Times New Roman" w:eastAsia="Times New Roman" w:hAnsi="Times New Roman"/>
          <w:b w:val="false"/>
          <w:bCs w:val="false"/>
          <w:i w:val="false"/>
          <w:iCs w:val="false"/>
          <w:sz w:val="24"/>
          <w:szCs w:val="24"/>
        </w:rPr>
        <w:t xml:space="preserve">Для встановлення планки якості та визначення функціональної ніші дослідження виконано порівняльний аналіз трьох поширених в Україні облікових систем для малого бізнесу — BAS, Poster та KeyCRM — за критеріями, релевантними поставленій інженерній задачі.</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950"/>
        <w:gridCol w:w="1950"/>
        <w:gridCol w:w="1950"/>
        <w:gridCol w:w="1950"/>
      </w:tblGrid>
      <w:tr>
        <w:tc>
          <w:tcPr>
            <w:tcW w:type="dxa" w:w="2200"/>
            <w:shd w:fill="D9D9D9" w:val="clear"/>
          </w:tcPr>
          <w:p>
            <w:pPr>
              <w:jc w:val="left"/>
            </w:pPr>
            <w:r>
              <w:rPr>
                <w:rFonts w:ascii="Times New Roman" w:cs="Times New Roman" w:eastAsia="Times New Roman" w:hAnsi="Times New Roman"/>
                <w:b/>
                <w:bCs/>
                <w:sz w:val="20"/>
                <w:szCs w:val="20"/>
              </w:rPr>
              <w:t xml:space="preserve">Критерій</w:t>
            </w:r>
          </w:p>
        </w:tc>
        <w:tc>
          <w:tcPr>
            <w:tcW w:type="dxa" w:w="1950"/>
            <w:shd w:fill="D9D9D9" w:val="clear"/>
          </w:tcPr>
          <w:p>
            <w:pPr>
              <w:jc w:val="left"/>
            </w:pPr>
            <w:r>
              <w:rPr>
                <w:rFonts w:ascii="Times New Roman" w:cs="Times New Roman" w:eastAsia="Times New Roman" w:hAnsi="Times New Roman"/>
                <w:b/>
                <w:bCs/>
                <w:sz w:val="20"/>
                <w:szCs w:val="20"/>
              </w:rPr>
              <w:t xml:space="preserve">BAS</w:t>
            </w:r>
          </w:p>
        </w:tc>
        <w:tc>
          <w:tcPr>
            <w:tcW w:type="dxa" w:w="1950"/>
            <w:shd w:fill="D9D9D9" w:val="clear"/>
          </w:tcPr>
          <w:p>
            <w:pPr>
              <w:jc w:val="left"/>
            </w:pPr>
            <w:r>
              <w:rPr>
                <w:rFonts w:ascii="Times New Roman" w:cs="Times New Roman" w:eastAsia="Times New Roman" w:hAnsi="Times New Roman"/>
                <w:b/>
                <w:bCs/>
                <w:sz w:val="20"/>
                <w:szCs w:val="20"/>
              </w:rPr>
              <w:t xml:space="preserve">Poster</w:t>
            </w:r>
          </w:p>
        </w:tc>
        <w:tc>
          <w:tcPr>
            <w:tcW w:type="dxa" w:w="1950"/>
            <w:shd w:fill="D9D9D9" w:val="clear"/>
          </w:tcPr>
          <w:p>
            <w:pPr>
              <w:jc w:val="left"/>
            </w:pPr>
            <w:r>
              <w:rPr>
                <w:rFonts w:ascii="Times New Roman" w:cs="Times New Roman" w:eastAsia="Times New Roman" w:hAnsi="Times New Roman"/>
                <w:b/>
                <w:bCs/>
                <w:sz w:val="20"/>
                <w:szCs w:val="20"/>
              </w:rPr>
              <w:t xml:space="preserve">KeyCRM</w:t>
            </w:r>
          </w:p>
        </w:tc>
        <w:tc>
          <w:tcPr>
            <w:tcW w:type="dxa" w:w="1950"/>
            <w:shd w:fill="D9D9D9" w:val="clear"/>
          </w:tcPr>
          <w:p>
            <w:pPr>
              <w:jc w:val="left"/>
            </w:pPr>
            <w:r>
              <w:rPr>
                <w:rFonts w:ascii="Times New Roman" w:cs="Times New Roman" w:eastAsia="Times New Roman" w:hAnsi="Times New Roman"/>
                <w:b/>
                <w:bCs/>
                <w:sz w:val="20"/>
                <w:szCs w:val="20"/>
              </w:rPr>
              <w:t xml:space="preserve">Запропонована система</w:t>
            </w:r>
          </w:p>
        </w:tc>
      </w:tr>
      <w:tr>
        <w:tc>
          <w:tcPr>
            <w:tcW w:type="dxa" w:w="2200"/>
          </w:tcPr>
          <w:p>
            <w:pPr>
              <w:jc w:val="left"/>
            </w:pPr>
            <w:r>
              <w:rPr>
                <w:rFonts w:ascii="Times New Roman" w:cs="Times New Roman" w:eastAsia="Times New Roman" w:hAnsi="Times New Roman"/>
                <w:b w:val="false"/>
                <w:bCs w:val="false"/>
                <w:sz w:val="20"/>
                <w:szCs w:val="20"/>
              </w:rPr>
              <w:t xml:space="preserve">Розпізнавання довільної накладної (фото/PDF)</w:t>
            </w:r>
          </w:p>
        </w:tc>
        <w:tc>
          <w:tcPr>
            <w:tcW w:type="dxa" w:w="1950"/>
          </w:tcPr>
          <w:p>
            <w:pPr>
              <w:jc w:val="left"/>
            </w:pPr>
            <w:r>
              <w:rPr>
                <w:rFonts w:ascii="Times New Roman" w:cs="Times New Roman" w:eastAsia="Times New Roman" w:hAnsi="Times New Roman"/>
                <w:b w:val="false"/>
                <w:bCs w:val="false"/>
                <w:sz w:val="20"/>
                <w:szCs w:val="20"/>
              </w:rPr>
              <w:t xml:space="preserve">Відсутнє</w:t>
            </w:r>
          </w:p>
        </w:tc>
        <w:tc>
          <w:tcPr>
            <w:tcW w:type="dxa" w:w="1950"/>
          </w:tcPr>
          <w:p>
            <w:pPr>
              <w:jc w:val="left"/>
            </w:pPr>
            <w:r>
              <w:rPr>
                <w:rFonts w:ascii="Times New Roman" w:cs="Times New Roman" w:eastAsia="Times New Roman" w:hAnsi="Times New Roman"/>
                <w:b w:val="false"/>
                <w:bCs w:val="false"/>
                <w:sz w:val="20"/>
                <w:szCs w:val="20"/>
              </w:rPr>
              <w:t xml:space="preserve">Відсутнє</w:t>
            </w:r>
          </w:p>
        </w:tc>
        <w:tc>
          <w:tcPr>
            <w:tcW w:type="dxa" w:w="1950"/>
          </w:tcPr>
          <w:p>
            <w:pPr>
              <w:jc w:val="left"/>
            </w:pPr>
            <w:r>
              <w:rPr>
                <w:rFonts w:ascii="Times New Roman" w:cs="Times New Roman" w:eastAsia="Times New Roman" w:hAnsi="Times New Roman"/>
                <w:b w:val="false"/>
                <w:bCs w:val="false"/>
                <w:sz w:val="20"/>
                <w:szCs w:val="20"/>
              </w:rPr>
              <w:t xml:space="preserve">Відсутнє</w:t>
            </w:r>
          </w:p>
        </w:tc>
        <w:tc>
          <w:tcPr>
            <w:tcW w:type="dxa" w:w="1950"/>
          </w:tcPr>
          <w:p>
            <w:pPr>
              <w:jc w:val="left"/>
            </w:pPr>
            <w:r>
              <w:rPr>
                <w:rFonts w:ascii="Times New Roman" w:cs="Times New Roman" w:eastAsia="Times New Roman" w:hAnsi="Times New Roman"/>
                <w:b w:val="false"/>
                <w:bCs w:val="false"/>
                <w:sz w:val="20"/>
                <w:szCs w:val="20"/>
              </w:rPr>
              <w:t xml:space="preserve">Наявне (OCR + LLM)</w:t>
            </w:r>
          </w:p>
        </w:tc>
      </w:tr>
      <w:tr>
        <w:tc>
          <w:tcPr>
            <w:tcW w:type="dxa" w:w="2200"/>
          </w:tcPr>
          <w:p>
            <w:pPr>
              <w:jc w:val="left"/>
            </w:pPr>
            <w:r>
              <w:rPr>
                <w:rFonts w:ascii="Times New Roman" w:cs="Times New Roman" w:eastAsia="Times New Roman" w:hAnsi="Times New Roman"/>
                <w:b w:val="false"/>
                <w:bCs w:val="false"/>
                <w:sz w:val="20"/>
                <w:szCs w:val="20"/>
              </w:rPr>
              <w:t xml:space="preserve">Приймання від непідключеного постачальника</w:t>
            </w:r>
          </w:p>
        </w:tc>
        <w:tc>
          <w:tcPr>
            <w:tcW w:type="dxa" w:w="1950"/>
          </w:tcPr>
          <w:p>
            <w:pPr>
              <w:jc w:val="left"/>
            </w:pPr>
            <w:r>
              <w:rPr>
                <w:rFonts w:ascii="Times New Roman" w:cs="Times New Roman" w:eastAsia="Times New Roman" w:hAnsi="Times New Roman"/>
                <w:b w:val="false"/>
                <w:bCs w:val="false"/>
                <w:sz w:val="20"/>
                <w:szCs w:val="20"/>
              </w:rPr>
              <w:t xml:space="preserve">Ручне введення</w:t>
            </w:r>
          </w:p>
        </w:tc>
        <w:tc>
          <w:tcPr>
            <w:tcW w:type="dxa" w:w="1950"/>
          </w:tcPr>
          <w:p>
            <w:pPr>
              <w:jc w:val="left"/>
            </w:pPr>
            <w:r>
              <w:rPr>
                <w:rFonts w:ascii="Times New Roman" w:cs="Times New Roman" w:eastAsia="Times New Roman" w:hAnsi="Times New Roman"/>
                <w:b w:val="false"/>
                <w:bCs w:val="false"/>
                <w:sz w:val="20"/>
                <w:szCs w:val="20"/>
              </w:rPr>
              <w:t xml:space="preserve">Ручне введення</w:t>
            </w:r>
          </w:p>
        </w:tc>
        <w:tc>
          <w:tcPr>
            <w:tcW w:type="dxa" w:w="1950"/>
          </w:tcPr>
          <w:p>
            <w:pPr>
              <w:jc w:val="left"/>
            </w:pPr>
            <w:r>
              <w:rPr>
                <w:rFonts w:ascii="Times New Roman" w:cs="Times New Roman" w:eastAsia="Times New Roman" w:hAnsi="Times New Roman"/>
                <w:b w:val="false"/>
                <w:bCs w:val="false"/>
                <w:sz w:val="20"/>
                <w:szCs w:val="20"/>
              </w:rPr>
              <w:t xml:space="preserve">Ручне введення / імпорт CSV</w:t>
            </w:r>
          </w:p>
        </w:tc>
        <w:tc>
          <w:tcPr>
            <w:tcW w:type="dxa" w:w="1950"/>
          </w:tcPr>
          <w:p>
            <w:pPr>
              <w:jc w:val="left"/>
            </w:pPr>
            <w:r>
              <w:rPr>
                <w:rFonts w:ascii="Times New Roman" w:cs="Times New Roman" w:eastAsia="Times New Roman" w:hAnsi="Times New Roman"/>
                <w:b w:val="false"/>
                <w:bCs w:val="false"/>
                <w:sz w:val="20"/>
                <w:szCs w:val="20"/>
              </w:rPr>
              <w:t xml:space="preserve">Автоматизоване, з підтвердженням</w:t>
            </w:r>
          </w:p>
        </w:tc>
      </w:tr>
      <w:tr>
        <w:tc>
          <w:tcPr>
            <w:tcW w:type="dxa" w:w="2200"/>
          </w:tcPr>
          <w:p>
            <w:pPr>
              <w:jc w:val="left"/>
            </w:pPr>
            <w:r>
              <w:rPr>
                <w:rFonts w:ascii="Times New Roman" w:cs="Times New Roman" w:eastAsia="Times New Roman" w:hAnsi="Times New Roman"/>
                <w:b w:val="false"/>
                <w:bCs w:val="false"/>
                <w:sz w:val="20"/>
                <w:szCs w:val="20"/>
              </w:rPr>
              <w:t xml:space="preserve">Зіставлення різних написань назв</w:t>
            </w:r>
          </w:p>
        </w:tc>
        <w:tc>
          <w:tcPr>
            <w:tcW w:type="dxa" w:w="1950"/>
          </w:tcPr>
          <w:p>
            <w:pPr>
              <w:jc w:val="left"/>
            </w:pPr>
            <w:r>
              <w:rPr>
                <w:rFonts w:ascii="Times New Roman" w:cs="Times New Roman" w:eastAsia="Times New Roman" w:hAnsi="Times New Roman"/>
                <w:b w:val="false"/>
                <w:bCs w:val="false"/>
                <w:sz w:val="20"/>
                <w:szCs w:val="20"/>
              </w:rPr>
              <w:t xml:space="preserve">Відсутнє</w:t>
            </w:r>
          </w:p>
        </w:tc>
        <w:tc>
          <w:tcPr>
            <w:tcW w:type="dxa" w:w="1950"/>
          </w:tcPr>
          <w:p>
            <w:pPr>
              <w:jc w:val="left"/>
            </w:pPr>
            <w:r>
              <w:rPr>
                <w:rFonts w:ascii="Times New Roman" w:cs="Times New Roman" w:eastAsia="Times New Roman" w:hAnsi="Times New Roman"/>
                <w:b w:val="false"/>
                <w:bCs w:val="false"/>
                <w:sz w:val="20"/>
                <w:szCs w:val="20"/>
              </w:rPr>
              <w:t xml:space="preserve">Відсутнє</w:t>
            </w:r>
          </w:p>
        </w:tc>
        <w:tc>
          <w:tcPr>
            <w:tcW w:type="dxa" w:w="1950"/>
          </w:tcPr>
          <w:p>
            <w:pPr>
              <w:jc w:val="left"/>
            </w:pPr>
            <w:r>
              <w:rPr>
                <w:rFonts w:ascii="Times New Roman" w:cs="Times New Roman" w:eastAsia="Times New Roman" w:hAnsi="Times New Roman"/>
                <w:b w:val="false"/>
                <w:bCs w:val="false"/>
                <w:sz w:val="20"/>
                <w:szCs w:val="20"/>
              </w:rPr>
              <w:t xml:space="preserve">Відсутнє</w:t>
            </w:r>
          </w:p>
        </w:tc>
        <w:tc>
          <w:tcPr>
            <w:tcW w:type="dxa" w:w="1950"/>
          </w:tcPr>
          <w:p>
            <w:pPr>
              <w:jc w:val="left"/>
            </w:pPr>
            <w:r>
              <w:rPr>
                <w:rFonts w:ascii="Times New Roman" w:cs="Times New Roman" w:eastAsia="Times New Roman" w:hAnsi="Times New Roman"/>
                <w:b w:val="false"/>
                <w:bCs w:val="false"/>
                <w:sz w:val="20"/>
                <w:szCs w:val="20"/>
              </w:rPr>
              <w:t xml:space="preserve">Гібридний пошук (нечіткий + векторний)</w:t>
            </w:r>
          </w:p>
        </w:tc>
      </w:tr>
      <w:tr>
        <w:tc>
          <w:tcPr>
            <w:tcW w:type="dxa" w:w="2200"/>
          </w:tcPr>
          <w:p>
            <w:pPr>
              <w:jc w:val="left"/>
            </w:pPr>
            <w:r>
              <w:rPr>
                <w:rFonts w:ascii="Times New Roman" w:cs="Times New Roman" w:eastAsia="Times New Roman" w:hAnsi="Times New Roman"/>
                <w:b w:val="false"/>
                <w:bCs w:val="false"/>
                <w:sz w:val="20"/>
                <w:szCs w:val="20"/>
              </w:rPr>
              <w:t xml:space="preserve">Прогноз дозамовлення</w:t>
            </w:r>
          </w:p>
        </w:tc>
        <w:tc>
          <w:tcPr>
            <w:tcW w:type="dxa" w:w="1950"/>
          </w:tcPr>
          <w:p>
            <w:pPr>
              <w:jc w:val="left"/>
            </w:pPr>
            <w:r>
              <w:rPr>
                <w:rFonts w:ascii="Times New Roman" w:cs="Times New Roman" w:eastAsia="Times New Roman" w:hAnsi="Times New Roman"/>
                <w:b w:val="false"/>
                <w:bCs w:val="false"/>
                <w:sz w:val="20"/>
                <w:szCs w:val="20"/>
              </w:rPr>
              <w:t xml:space="preserve">Базовий поріг</w:t>
            </w:r>
          </w:p>
        </w:tc>
        <w:tc>
          <w:tcPr>
            <w:tcW w:type="dxa" w:w="1950"/>
          </w:tcPr>
          <w:p>
            <w:pPr>
              <w:jc w:val="left"/>
            </w:pPr>
            <w:r>
              <w:rPr>
                <w:rFonts w:ascii="Times New Roman" w:cs="Times New Roman" w:eastAsia="Times New Roman" w:hAnsi="Times New Roman"/>
                <w:b w:val="false"/>
                <w:bCs w:val="false"/>
                <w:sz w:val="20"/>
                <w:szCs w:val="20"/>
              </w:rPr>
              <w:t xml:space="preserve">Базовий поріг</w:t>
            </w:r>
          </w:p>
        </w:tc>
        <w:tc>
          <w:tcPr>
            <w:tcW w:type="dxa" w:w="1950"/>
          </w:tcPr>
          <w:p>
            <w:pPr>
              <w:jc w:val="left"/>
            </w:pPr>
            <w:r>
              <w:rPr>
                <w:rFonts w:ascii="Times New Roman" w:cs="Times New Roman" w:eastAsia="Times New Roman" w:hAnsi="Times New Roman"/>
                <w:b w:val="false"/>
                <w:bCs w:val="false"/>
                <w:sz w:val="20"/>
                <w:szCs w:val="20"/>
              </w:rPr>
              <w:t xml:space="preserve">Базовий поріг</w:t>
            </w:r>
          </w:p>
        </w:tc>
        <w:tc>
          <w:tcPr>
            <w:tcW w:type="dxa" w:w="1950"/>
          </w:tcPr>
          <w:p>
            <w:pPr>
              <w:jc w:val="left"/>
            </w:pPr>
            <w:r>
              <w:rPr>
                <w:rFonts w:ascii="Times New Roman" w:cs="Times New Roman" w:eastAsia="Times New Roman" w:hAnsi="Times New Roman"/>
                <w:b w:val="false"/>
                <w:bCs w:val="false"/>
                <w:sz w:val="20"/>
                <w:szCs w:val="20"/>
              </w:rPr>
              <w:t xml:space="preserve">Прогноз на основі середньодобового споживання</w:t>
            </w:r>
          </w:p>
        </w:tc>
      </w:tr>
      <w:tr>
        <w:tc>
          <w:tcPr>
            <w:tcW w:type="dxa" w:w="2200"/>
          </w:tcPr>
          <w:p>
            <w:pPr>
              <w:jc w:val="left"/>
            </w:pPr>
            <w:r>
              <w:rPr>
                <w:rFonts w:ascii="Times New Roman" w:cs="Times New Roman" w:eastAsia="Times New Roman" w:hAnsi="Times New Roman"/>
                <w:b w:val="false"/>
                <w:bCs w:val="false"/>
                <w:sz w:val="20"/>
                <w:szCs w:val="20"/>
              </w:rPr>
              <w:t xml:space="preserve">Модель розгортання</w:t>
            </w:r>
          </w:p>
        </w:tc>
        <w:tc>
          <w:tcPr>
            <w:tcW w:type="dxa" w:w="1950"/>
          </w:tcPr>
          <w:p>
            <w:pPr>
              <w:jc w:val="left"/>
            </w:pPr>
            <w:r>
              <w:rPr>
                <w:rFonts w:ascii="Times New Roman" w:cs="Times New Roman" w:eastAsia="Times New Roman" w:hAnsi="Times New Roman"/>
                <w:b w:val="false"/>
                <w:bCs w:val="false"/>
                <w:sz w:val="20"/>
                <w:szCs w:val="20"/>
              </w:rPr>
              <w:t xml:space="preserve">Хмара постачальника</w:t>
            </w:r>
          </w:p>
        </w:tc>
        <w:tc>
          <w:tcPr>
            <w:tcW w:type="dxa" w:w="1950"/>
          </w:tcPr>
          <w:p>
            <w:pPr>
              <w:jc w:val="left"/>
            </w:pPr>
            <w:r>
              <w:rPr>
                <w:rFonts w:ascii="Times New Roman" w:cs="Times New Roman" w:eastAsia="Times New Roman" w:hAnsi="Times New Roman"/>
                <w:b w:val="false"/>
                <w:bCs w:val="false"/>
                <w:sz w:val="20"/>
                <w:szCs w:val="20"/>
              </w:rPr>
              <w:t xml:space="preserve">Хмара постачальника</w:t>
            </w:r>
          </w:p>
        </w:tc>
        <w:tc>
          <w:tcPr>
            <w:tcW w:type="dxa" w:w="1950"/>
          </w:tcPr>
          <w:p>
            <w:pPr>
              <w:jc w:val="left"/>
            </w:pPr>
            <w:r>
              <w:rPr>
                <w:rFonts w:ascii="Times New Roman" w:cs="Times New Roman" w:eastAsia="Times New Roman" w:hAnsi="Times New Roman"/>
                <w:b w:val="false"/>
                <w:bCs w:val="false"/>
                <w:sz w:val="20"/>
                <w:szCs w:val="20"/>
              </w:rPr>
              <w:t xml:space="preserve">Хмара постачальника</w:t>
            </w:r>
          </w:p>
        </w:tc>
        <w:tc>
          <w:tcPr>
            <w:tcW w:type="dxa" w:w="1950"/>
          </w:tcPr>
          <w:p>
            <w:pPr>
              <w:jc w:val="left"/>
            </w:pPr>
            <w:r>
              <w:rPr>
                <w:rFonts w:ascii="Times New Roman" w:cs="Times New Roman" w:eastAsia="Times New Roman" w:hAnsi="Times New Roman"/>
                <w:b w:val="false"/>
                <w:bCs w:val="false"/>
                <w:sz w:val="20"/>
                <w:szCs w:val="20"/>
              </w:rPr>
              <w:t xml:space="preserve">Self-hosted (Docker Compose)</w:t>
            </w:r>
          </w:p>
        </w:tc>
      </w:tr>
    </w:tbl>
    <w:p>
      <w:pPr>
        <w:spacing w:after="160" w:line="360"/>
        <w:jc w:val="both"/>
      </w:pPr>
      <w:r>
        <w:rPr>
          <w:rFonts w:ascii="Times New Roman" w:cs="Times New Roman" w:eastAsia="Times New Roman" w:hAnsi="Times New Roman"/>
          <w:b w:val="false"/>
          <w:bCs w:val="false"/>
          <w:i w:val="false"/>
          <w:iCs w:val="false"/>
          <w:sz w:val="24"/>
          <w:szCs w:val="24"/>
        </w:rPr>
        <w:t xml:space="preserve"> </w:t>
      </w:r>
    </w:p>
    <w:p>
      <w:pPr>
        <w:spacing w:after="160" w:line="360"/>
        <w:jc w:val="both"/>
      </w:pPr>
      <w:r>
        <w:rPr>
          <w:rFonts w:ascii="Times New Roman" w:cs="Times New Roman" w:eastAsia="Times New Roman" w:hAnsi="Times New Roman"/>
          <w:b w:val="false"/>
          <w:bCs w:val="false"/>
          <w:i w:val="false"/>
          <w:iCs w:val="false"/>
          <w:sz w:val="24"/>
          <w:szCs w:val="24"/>
        </w:rPr>
        <w:t xml:space="preserve">Порівняльний аналіз встановлює, що жодне з розглянутих рішень не передбачає автоматизованого розпізнавання первинного документа довільного постачальника: усі системи автоматизують приймання товару виключно за умови підключення постачальника через електронний документообіг (EDI) або попередньо узгоджений формат імпорту (CSV/XML). За відсутності такого підключення єдиним доступним шляхом введення даних залишається ручне введення позицій оператором, що відтворює проблематику, визначену в підрозділі 1.1, незалежно від вибору облікової системи. Крім того, жодне з рішень не реалізує семантичне зіставлення найменувань при розбіжному написанні назви товару в документах різних постачальників, а прогнозування дозамовлення обмежується встановленням статичного порогового значення без урахування динаміки споживання.</w:t>
      </w:r>
    </w:p>
    <w:p>
      <w:pPr>
        <w:pStyle w:val="Heading2"/>
        <w:spacing w:after="160" w:before="320"/>
      </w:pPr>
      <w:r>
        <w:rPr>
          <w:rFonts w:ascii="Times New Roman" w:cs="Times New Roman" w:eastAsia="Times New Roman" w:hAnsi="Times New Roman"/>
          <w:b/>
          <w:bCs/>
          <w:sz w:val="26"/>
          <w:szCs w:val="26"/>
        </w:rPr>
        <w:t xml:space="preserve">1.4. Аналіз обраної предметної області в межах дослідження (модель As-Is)</w:t>
      </w:r>
    </w:p>
    <w:p>
      <w:pPr>
        <w:pStyle w:val="Heading3"/>
        <w:spacing w:after="120" w:before="200"/>
      </w:pPr>
      <w:r>
        <w:rPr>
          <w:rFonts w:ascii="Times New Roman" w:cs="Times New Roman" w:eastAsia="Times New Roman" w:hAnsi="Times New Roman"/>
          <w:b/>
          <w:bCs/>
          <w:i/>
          <w:iCs/>
          <w:sz w:val="24"/>
          <w:szCs w:val="24"/>
        </w:rPr>
        <w:t xml:space="preserve">Загальна характеристика домену</w:t>
      </w:r>
    </w:p>
    <w:p>
      <w:pPr>
        <w:spacing w:after="160" w:line="360"/>
        <w:jc w:val="both"/>
      </w:pPr>
      <w:r>
        <w:rPr>
          <w:rFonts w:ascii="Times New Roman" w:cs="Times New Roman" w:eastAsia="Times New Roman" w:hAnsi="Times New Roman"/>
          <w:b w:val="false"/>
          <w:bCs w:val="false"/>
          <w:i w:val="false"/>
          <w:iCs w:val="false"/>
          <w:sz w:val="24"/>
          <w:szCs w:val="24"/>
        </w:rPr>
        <w:t xml:space="preserve">Предметна область дослідження охоплює процеси складського обліку суб'єктів малого підприємництва (роздрібні магазини, заклади громадського харчування, аптеки), зосереджені на первинному документообігу з постачальниками. Станом на 2026 рік домен перебуває у стані технологічного переходу: традиційні облікові системи інтегрують окремі елементи штучного інтелекту для розпізнавання документів, однак повноцінна автоматизація обробки довільних, не підключених через електронний документообіг постачальників залишається незаповненою технологічною нішею. Домен характеризується високою фрагментованістю джерел вхідних даних (паперові та PDF-накладні без єдиного стандарту оформлення) та зростаючим попитом на гібридні хмарно-локальні рішення для суб'єктів господарювання, що не мають власного ІТ-персоналу.</w:t>
      </w:r>
    </w:p>
    <w:p>
      <w:pPr>
        <w:pStyle w:val="Heading3"/>
        <w:spacing w:after="120" w:before="200"/>
      </w:pPr>
      <w:r>
        <w:rPr>
          <w:rFonts w:ascii="Times New Roman" w:cs="Times New Roman" w:eastAsia="Times New Roman" w:hAnsi="Times New Roman"/>
          <w:b/>
          <w:bCs/>
          <w:i/>
          <w:iCs/>
          <w:sz w:val="24"/>
          <w:szCs w:val="24"/>
        </w:rPr>
        <w:t xml:space="preserve">Ключові актори та сутності системи</w:t>
      </w:r>
    </w:p>
    <w:p>
      <w:pPr>
        <w:spacing w:after="160" w:line="360"/>
        <w:jc w:val="both"/>
      </w:pPr>
      <w:r>
        <w:rPr>
          <w:rFonts w:ascii="Times New Roman" w:cs="Times New Roman" w:eastAsia="Times New Roman" w:hAnsi="Times New Roman"/>
          <w:b w:val="false"/>
          <w:bCs w:val="false"/>
          <w:i w:val="false"/>
          <w:iCs w:val="false"/>
          <w:sz w:val="24"/>
          <w:szCs w:val="24"/>
        </w:rPr>
        <w:t xml:space="preserve">Основними акторами домену визначено: власника підприємства (приймає управлінські рішення, переглядає звітність щодо залишків та оборотності товару), працівника (оператора, що завантажує первинні документи та підтверджує розпізнані дані), постачальника (зовнішнього суб'єкта, що формує первинний документ у довільному форматі) та автоматизовану систему розпізнавання (програмний компонент конвеєра обробки документів). Ключовими інформаційними сутностями домену є: товар (номенклатурна одиниця з одиницею виміру та варіантами найменувань), накладна (первинний документ зі статусом обробки), позиція накладної (кількість, ціна, зв'язок із товаром), залишок (поточна кількість товару на складі) та рух товару (операція прийому, списання чи продажу).</w:t>
      </w:r>
    </w:p>
    <w:p>
      <w:pPr>
        <w:pStyle w:val="Heading3"/>
        <w:spacing w:after="120" w:before="200"/>
      </w:pPr>
      <w:r>
        <w:rPr>
          <w:rFonts w:ascii="Times New Roman" w:cs="Times New Roman" w:eastAsia="Times New Roman" w:hAnsi="Times New Roman"/>
          <w:b/>
          <w:bCs/>
          <w:i/>
          <w:iCs/>
          <w:sz w:val="24"/>
          <w:szCs w:val="24"/>
        </w:rPr>
        <w:t xml:space="preserve">Опис бізнес-процесів та Workflows (As-Is)</w:t>
      </w:r>
    </w:p>
    <w:p>
      <w:pPr>
        <w:spacing w:after="160" w:line="360"/>
        <w:jc w:val="both"/>
      </w:pPr>
      <w:r>
        <w:rPr>
          <w:rFonts w:ascii="Times New Roman" w:cs="Times New Roman" w:eastAsia="Times New Roman" w:hAnsi="Times New Roman"/>
          <w:b w:val="false"/>
          <w:bCs w:val="false"/>
          <w:i w:val="false"/>
          <w:iCs w:val="false"/>
          <w:sz w:val="24"/>
          <w:szCs w:val="24"/>
        </w:rPr>
        <w:t xml:space="preserve">Процес приймання поставки станом на сьогодні здійснюється вручну: працівник отримує паперовий або електронний документ від постачальника та послідовно переносить кожну позицію до облікової системи. Вузьким місцем процесу є пряма залежність тривалості операції від кількості позицій у документі, кумулятивне накопичення помилок ручного введення (помилка в кількості чи ціні) та часовий розрив між фізичним отриманням товару й оновленням облікових залишків, протягом якого дані в системі не відповідають фактичному стану складу.</w:t>
      </w:r>
    </w:p>
    <w:p>
      <w:pPr>
        <w:spacing w:after="160" w:line="360"/>
        <w:jc w:val="both"/>
      </w:pPr>
      <w:r>
        <w:rPr>
          <w:rFonts w:ascii="Times New Roman" w:cs="Times New Roman" w:eastAsia="Times New Roman" w:hAnsi="Times New Roman"/>
          <w:b w:val="false"/>
          <w:bCs w:val="false"/>
          <w:i w:val="false"/>
          <w:iCs w:val="false"/>
          <w:sz w:val="24"/>
          <w:szCs w:val="24"/>
        </w:rPr>
        <w:t xml:space="preserve">Процес зіставлення найменувань товарів ускладнюється тим, що кожен постачальник формує власні текстові позначення одного й того самого товару. За відсутності автоматизованого механізму зіставлення працівник вимушений вручну визначати відповідність позиції наявній номенклатурі або, у разі сумніву, створювати нову картку товару — що призводить до фрагментації каталогу дублюючими записами та спотворення звітності за оборотністю.</w:t>
      </w:r>
    </w:p>
    <w:p>
      <w:pPr>
        <w:spacing w:after="160" w:line="360"/>
        <w:jc w:val="both"/>
      </w:pPr>
      <w:r>
        <w:rPr>
          <w:rFonts w:ascii="Times New Roman" w:cs="Times New Roman" w:eastAsia="Times New Roman" w:hAnsi="Times New Roman"/>
          <w:b w:val="false"/>
          <w:bCs w:val="false"/>
          <w:i w:val="false"/>
          <w:iCs w:val="false"/>
          <w:sz w:val="24"/>
          <w:szCs w:val="24"/>
        </w:rPr>
        <w:t xml:space="preserve">Процес поповнення запасів у домені реалізується реактивно: рішення про дозамовлення товару ухвалюється на основі періодичної візуальної перевірки складу або constatації факту відсутності товару в момент продажу. Вузьким місцем є відсутність систематизованого порогового контролю залишків, що унеможливлює завчасне прогнозування дати вичерпання запасу та спричиняє втрату виторгу через незаплановані дефіцити.</w:t>
      </w:r>
    </w:p>
    <w:p>
      <w:pPr>
        <w:pStyle w:val="Heading3"/>
        <w:spacing w:after="120" w:before="200"/>
      </w:pPr>
      <w:r>
        <w:rPr>
          <w:rFonts w:ascii="Times New Roman" w:cs="Times New Roman" w:eastAsia="Times New Roman" w:hAnsi="Times New Roman"/>
          <w:b/>
          <w:bCs/>
          <w:i/>
          <w:iCs/>
          <w:sz w:val="24"/>
          <w:szCs w:val="24"/>
        </w:rPr>
        <w:t xml:space="preserve">Регуляторні та індустріальні обмеження</w:t>
      </w:r>
    </w:p>
    <w:p>
      <w:pPr>
        <w:pStyle w:val="ListParagraph"/>
        <w:numPr>
          <w:ilvl w:val="0"/>
          <w:numId w:val="2"/>
        </w:numPr>
        <w:spacing w:after="100" w:line="360"/>
      </w:pPr>
      <w:r>
        <w:rPr>
          <w:rFonts w:ascii="Times New Roman" w:cs="Times New Roman" w:eastAsia="Times New Roman" w:hAnsi="Times New Roman"/>
          <w:sz w:val="24"/>
          <w:szCs w:val="24"/>
        </w:rPr>
        <w:t xml:space="preserve">Законодавство України у сфері електронного документообігу (Закон України «Про електронні документи та електронний документообіг»), яке регламентує юридичну силу електронного документа, тоді як первинні документи постачальників у домені часто залишаються паперовими.</w:t>
      </w:r>
    </w:p>
    <w:p>
      <w:pPr>
        <w:pStyle w:val="ListParagraph"/>
        <w:numPr>
          <w:ilvl w:val="0"/>
          <w:numId w:val="2"/>
        </w:numPr>
        <w:spacing w:after="100" w:line="360"/>
      </w:pPr>
      <w:r>
        <w:rPr>
          <w:rFonts w:ascii="Times New Roman" w:cs="Times New Roman" w:eastAsia="Times New Roman" w:hAnsi="Times New Roman"/>
          <w:sz w:val="24"/>
          <w:szCs w:val="24"/>
        </w:rPr>
        <w:t xml:space="preserve">Вимоги до обробки персональних даних контрагентів відповідно до Закону України «Про захист персональних даних», що впливають на архітектуру зберігання та передачі зображень накладних до зовнішніх LLM-сервісів.</w:t>
      </w:r>
    </w:p>
    <w:p>
      <w:pPr>
        <w:pStyle w:val="ListParagraph"/>
        <w:numPr>
          <w:ilvl w:val="0"/>
          <w:numId w:val="2"/>
        </w:numPr>
        <w:spacing w:after="100" w:line="360"/>
      </w:pPr>
      <w:r>
        <w:rPr>
          <w:rFonts w:ascii="Times New Roman" w:cs="Times New Roman" w:eastAsia="Times New Roman" w:hAnsi="Times New Roman"/>
          <w:sz w:val="24"/>
          <w:szCs w:val="24"/>
        </w:rPr>
        <w:t xml:space="preserve">Індустріальні формати електронного обміну обліковими даними (EDIFACT, XML-специфікації постачальників), що охоплюють лише підключених постачальників і не поширюються на документи довільного формату, чим і зумовлена технологічна ніша дослідження.</w:t>
      </w:r>
    </w:p>
    <w:p>
      <w:pPr>
        <w:pStyle w:val="ListParagraph"/>
        <w:numPr>
          <w:ilvl w:val="0"/>
          <w:numId w:val="2"/>
        </w:numPr>
        <w:spacing w:after="100" w:line="360"/>
      </w:pPr>
      <w:r>
        <w:rPr>
          <w:rFonts w:ascii="Times New Roman" w:cs="Times New Roman" w:eastAsia="Times New Roman" w:hAnsi="Times New Roman"/>
          <w:sz w:val="24"/>
          <w:szCs w:val="24"/>
        </w:rPr>
        <w:t xml:space="preserve">Вимоги до цілісності первинного фінансового обліку (точність розрахунку залишків, можливість аудиту операцій), опосередковано регламентовані податковим законодавством щодо первинної документації підприємства.</w:t>
      </w:r>
    </w:p>
    <w:p>
      <w:pPr>
        <w:pStyle w:val="Heading2"/>
        <w:spacing w:after="160" w:before="320"/>
      </w:pPr>
      <w:r>
        <w:rPr>
          <w:rFonts w:ascii="Times New Roman" w:cs="Times New Roman" w:eastAsia="Times New Roman" w:hAnsi="Times New Roman"/>
          <w:b/>
          <w:bCs/>
          <w:sz w:val="26"/>
          <w:szCs w:val="26"/>
        </w:rPr>
        <w:t xml:space="preserve">1.5. Постановка задачі та формування вимог (модель To-Be, Core Features, NFRs)</w:t>
      </w:r>
    </w:p>
    <w:p>
      <w:pPr>
        <w:pStyle w:val="Heading3"/>
        <w:spacing w:after="120" w:before="200"/>
      </w:pPr>
      <w:r>
        <w:rPr>
          <w:rFonts w:ascii="Times New Roman" w:cs="Times New Roman" w:eastAsia="Times New Roman" w:hAnsi="Times New Roman"/>
          <w:b/>
          <w:bCs/>
          <w:i/>
          <w:iCs/>
          <w:sz w:val="24"/>
          <w:szCs w:val="24"/>
        </w:rPr>
        <w:t xml:space="preserve">Концептуальна модель To-Be</w:t>
      </w:r>
    </w:p>
    <w:p>
      <w:pPr>
        <w:spacing w:after="160" w:line="360"/>
        <w:jc w:val="both"/>
      </w:pPr>
      <w:r>
        <w:rPr>
          <w:rFonts w:ascii="Times New Roman" w:cs="Times New Roman" w:eastAsia="Times New Roman" w:hAnsi="Times New Roman"/>
          <w:b w:val="false"/>
          <w:bCs w:val="false"/>
          <w:i w:val="false"/>
          <w:iCs w:val="false"/>
          <w:sz w:val="24"/>
          <w:szCs w:val="24"/>
        </w:rPr>
        <w:t xml:space="preserve">Цільовий стан процесів домену після впровадження розробленого програмного рішення передбачає заміну ручного введення первинних документів автоматизованим асинхронним конвеєром обробки. Процес приймання поставки трансформується наступним чином: працівник завантажує фотографію або PDF-файл накладної, система виконує розпізнавання позицій засобами OCR та LLM і формує структуровані дані, які відображаються працівнику для підтвердження за принципом Human-in-the-loop, перш ніж вони потрапляють до незмінного журналу руху товарів. Такий підхід ліквідує часовий розрив між фізичним отриманням товару та оновленням облікових залишків і усуває кумулятивні помилки ручного введення.</w:t>
      </w:r>
    </w:p>
    <w:p>
      <w:pPr>
        <w:spacing w:after="160" w:line="360"/>
        <w:jc w:val="both"/>
      </w:pPr>
      <w:r>
        <w:rPr>
          <w:rFonts w:ascii="Times New Roman" w:cs="Times New Roman" w:eastAsia="Times New Roman" w:hAnsi="Times New Roman"/>
          <w:b w:val="false"/>
          <w:bCs w:val="false"/>
          <w:i w:val="false"/>
          <w:iCs w:val="false"/>
          <w:sz w:val="24"/>
          <w:szCs w:val="24"/>
        </w:rPr>
        <w:t xml:space="preserve">Процес зіставлення найменувань трансформується завдяки гібридному пошуку, що поєднує нечітке текстове порівняння та семантичні векторні представлення, з накопиченням підтверджених відповідностей у розрізі кожного постачальника; це знижує частку ручних втручань із кожною наступною накладною того самого постачальника. Процес поповнення запасів переходить від реактивної моделі до проактивної: система безперервно порівнює поточні залишки з пороговими значеннями та автоматично надсилає власнику сповіщення через Telegram-бот разом із прогнозованою датою вичерпання запасу, розрахованою на основі середньодобового споживання.</w:t>
      </w:r>
    </w:p>
    <w:p>
      <w:pPr>
        <w:pStyle w:val="Heading3"/>
        <w:spacing w:after="120" w:before="200"/>
      </w:pPr>
      <w:r>
        <w:rPr>
          <w:rFonts w:ascii="Times New Roman" w:cs="Times New Roman" w:eastAsia="Times New Roman" w:hAnsi="Times New Roman"/>
          <w:b/>
          <w:bCs/>
          <w:i/>
          <w:iCs/>
          <w:sz w:val="24"/>
          <w:szCs w:val="24"/>
        </w:rPr>
        <w:t xml:space="preserve">Функціональні вимоги (Core Features)</w:t>
      </w:r>
    </w:p>
    <w:p>
      <w:pPr>
        <w:pStyle w:val="ListParagraph"/>
        <w:numPr>
          <w:ilvl w:val="0"/>
          <w:numId w:val="3"/>
        </w:numPr>
        <w:spacing w:after="100" w:line="360"/>
      </w:pPr>
      <w:r>
        <w:rPr>
          <w:rFonts w:ascii="Times New Roman" w:cs="Times New Roman" w:eastAsia="Times New Roman" w:hAnsi="Times New Roman"/>
          <w:sz w:val="24"/>
          <w:szCs w:val="24"/>
        </w:rPr>
        <w:t xml:space="preserve">Реалізувати CRUD-операції над каталогом товарів і постачальників із підтримкою одиниць виміру та варіантів найменувань (аліасів).</w:t>
      </w:r>
    </w:p>
    <w:p>
      <w:pPr>
        <w:pStyle w:val="ListParagraph"/>
        <w:numPr>
          <w:ilvl w:val="0"/>
          <w:numId w:val="3"/>
        </w:numPr>
        <w:spacing w:after="100" w:line="360"/>
      </w:pPr>
      <w:r>
        <w:rPr>
          <w:rFonts w:ascii="Times New Roman" w:cs="Times New Roman" w:eastAsia="Times New Roman" w:hAnsi="Times New Roman"/>
          <w:sz w:val="24"/>
          <w:szCs w:val="24"/>
        </w:rPr>
        <w:t xml:space="preserve">Забезпечити завантаження фотографій та PDF-файлів накладних зі збереженням оригіналів документів у S3-сумісному сховищі.</w:t>
      </w:r>
    </w:p>
    <w:p>
      <w:pPr>
        <w:pStyle w:val="ListParagraph"/>
        <w:numPr>
          <w:ilvl w:val="0"/>
          <w:numId w:val="3"/>
        </w:numPr>
        <w:spacing w:after="100" w:line="360"/>
      </w:pPr>
      <w:r>
        <w:rPr>
          <w:rFonts w:ascii="Times New Roman" w:cs="Times New Roman" w:eastAsia="Times New Roman" w:hAnsi="Times New Roman"/>
          <w:sz w:val="24"/>
          <w:szCs w:val="24"/>
        </w:rPr>
        <w:t xml:space="preserve">Виконати асинхронне розпізнавання позицій накладної засобами OCR та LLM із перетворенням результату у структурований JSON за фіксованою схемою.</w:t>
      </w:r>
    </w:p>
    <w:p>
      <w:pPr>
        <w:pStyle w:val="ListParagraph"/>
        <w:numPr>
          <w:ilvl w:val="0"/>
          <w:numId w:val="3"/>
        </w:numPr>
        <w:spacing w:after="100" w:line="360"/>
      </w:pPr>
      <w:r>
        <w:rPr>
          <w:rFonts w:ascii="Times New Roman" w:cs="Times New Roman" w:eastAsia="Times New Roman" w:hAnsi="Times New Roman"/>
          <w:sz w:val="24"/>
          <w:szCs w:val="24"/>
        </w:rPr>
        <w:t xml:space="preserve">Реалізувати гібридне зіставлення розпізнаних позицій із каталогом товарів (нечіткий пошук у поєднанні з векторними ембедінгами) та ранжування кандидатів.</w:t>
      </w:r>
    </w:p>
    <w:p>
      <w:pPr>
        <w:pStyle w:val="ListParagraph"/>
        <w:numPr>
          <w:ilvl w:val="0"/>
          <w:numId w:val="3"/>
        </w:numPr>
        <w:spacing w:after="100" w:line="360"/>
      </w:pPr>
      <w:r>
        <w:rPr>
          <w:rFonts w:ascii="Times New Roman" w:cs="Times New Roman" w:eastAsia="Times New Roman" w:hAnsi="Times New Roman"/>
          <w:sz w:val="24"/>
          <w:szCs w:val="24"/>
        </w:rPr>
        <w:t xml:space="preserve">Надати інтерфейс перевірки та підтвердження користувачем розпізнаних даних перед записом у реєстр операцій.</w:t>
      </w:r>
    </w:p>
    <w:p>
      <w:pPr>
        <w:pStyle w:val="ListParagraph"/>
        <w:numPr>
          <w:ilvl w:val="0"/>
          <w:numId w:val="3"/>
        </w:numPr>
        <w:spacing w:after="100" w:line="360"/>
      </w:pPr>
      <w:r>
        <w:rPr>
          <w:rFonts w:ascii="Times New Roman" w:cs="Times New Roman" w:eastAsia="Times New Roman" w:hAnsi="Times New Roman"/>
          <w:sz w:val="24"/>
          <w:szCs w:val="24"/>
        </w:rPr>
        <w:t xml:space="preserve">Реалізувати незмінний журнал операцій (прихід, списання, продаж) та розрахунок поточних залишків товару.</w:t>
      </w:r>
    </w:p>
    <w:p>
      <w:pPr>
        <w:pStyle w:val="ListParagraph"/>
        <w:numPr>
          <w:ilvl w:val="0"/>
          <w:numId w:val="3"/>
        </w:numPr>
        <w:spacing w:after="100" w:line="360"/>
      </w:pPr>
      <w:r>
        <w:rPr>
          <w:rFonts w:ascii="Times New Roman" w:cs="Times New Roman" w:eastAsia="Times New Roman" w:hAnsi="Times New Roman"/>
          <w:sz w:val="24"/>
          <w:szCs w:val="24"/>
        </w:rPr>
        <w:t xml:space="preserve">Реалізувати моніторинг мінімальних залишків і автоматичне надсилання сповіщень через Telegram-бот із прогнозом дати вичерпання запасу.</w:t>
      </w:r>
    </w:p>
    <w:p>
      <w:pPr>
        <w:pStyle w:val="ListParagraph"/>
        <w:numPr>
          <w:ilvl w:val="0"/>
          <w:numId w:val="3"/>
        </w:numPr>
        <w:spacing w:after="100" w:line="360"/>
      </w:pPr>
      <w:r>
        <w:rPr>
          <w:rFonts w:ascii="Times New Roman" w:cs="Times New Roman" w:eastAsia="Times New Roman" w:hAnsi="Times New Roman"/>
          <w:sz w:val="24"/>
          <w:szCs w:val="24"/>
        </w:rPr>
        <w:t xml:space="preserve">Сформувати звіти руху товарів за довільний період із рольовим розмежуванням доступу між власником та працівником.</w:t>
      </w:r>
    </w:p>
    <w:p>
      <w:pPr>
        <w:pStyle w:val="Heading3"/>
        <w:spacing w:after="120" w:before="200"/>
      </w:pPr>
      <w:r>
        <w:rPr>
          <w:rFonts w:ascii="Times New Roman" w:cs="Times New Roman" w:eastAsia="Times New Roman" w:hAnsi="Times New Roman"/>
          <w:b/>
          <w:bCs/>
          <w:i/>
          <w:iCs/>
          <w:sz w:val="24"/>
          <w:szCs w:val="24"/>
        </w:rPr>
        <w:t xml:space="preserve">Нефункціональні вимоги (NFRs)</w:t>
      </w:r>
    </w:p>
    <w:p>
      <w:pPr>
        <w:spacing w:after="160" w:line="360"/>
        <w:jc w:val="both"/>
      </w:pPr>
      <w:r>
        <w:rPr>
          <w:rFonts w:ascii="Times New Roman" w:cs="Times New Roman" w:eastAsia="Times New Roman" w:hAnsi="Times New Roman"/>
          <w:b/>
          <w:bCs/>
          <w:i w:val="false"/>
          <w:iCs w:val="false"/>
          <w:sz w:val="24"/>
          <w:szCs w:val="24"/>
        </w:rPr>
        <w:t xml:space="preserve">Продуктивність та масштабованість:</w:t>
      </w:r>
    </w:p>
    <w:p>
      <w:pPr>
        <w:pStyle w:val="ListParagraph"/>
        <w:numPr>
          <w:ilvl w:val="0"/>
          <w:numId w:val="2"/>
        </w:numPr>
        <w:spacing w:after="100" w:line="360"/>
      </w:pPr>
      <w:r>
        <w:rPr>
          <w:rFonts w:ascii="Times New Roman" w:cs="Times New Roman" w:eastAsia="Times New Roman" w:hAnsi="Times New Roman"/>
          <w:sz w:val="24"/>
          <w:szCs w:val="24"/>
        </w:rPr>
        <w:t xml:space="preserve">Час відгуку API (Latency) на p95-перцентилі не повинен перевищувати 200 мс для синхронних CRUD-операцій за навантаження 100 RPS.</w:t>
      </w:r>
    </w:p>
    <w:p>
      <w:pPr>
        <w:pStyle w:val="ListParagraph"/>
        <w:numPr>
          <w:ilvl w:val="0"/>
          <w:numId w:val="2"/>
        </w:numPr>
        <w:spacing w:after="100" w:line="360"/>
      </w:pPr>
      <w:r>
        <w:rPr>
          <w:rFonts w:ascii="Times New Roman" w:cs="Times New Roman" w:eastAsia="Times New Roman" w:hAnsi="Times New Roman"/>
          <w:sz w:val="24"/>
          <w:szCs w:val="24"/>
        </w:rPr>
        <w:t xml:space="preserve">Повний цикл обробки однієї накладної (від завантаження до готовності до підтвердження користувачем) не повинен перевищувати 15 секунд за умови до 30 позицій у документі.</w:t>
      </w:r>
    </w:p>
    <w:p>
      <w:pPr>
        <w:pStyle w:val="ListParagraph"/>
        <w:numPr>
          <w:ilvl w:val="0"/>
          <w:numId w:val="2"/>
        </w:numPr>
        <w:spacing w:after="100" w:line="360"/>
      </w:pPr>
      <w:r>
        <w:rPr>
          <w:rFonts w:ascii="Times New Roman" w:cs="Times New Roman" w:eastAsia="Times New Roman" w:hAnsi="Times New Roman"/>
          <w:sz w:val="24"/>
          <w:szCs w:val="24"/>
        </w:rPr>
        <w:t xml:space="preserve">Асинхронна черга обробки повинна витримувати пікове навантаження до 50 одночасних завдань без втрати повідомлень (гарантія доставки at-least-once).</w:t>
      </w:r>
    </w:p>
    <w:p>
      <w:pPr>
        <w:spacing w:after="160" w:line="360"/>
        <w:jc w:val="both"/>
      </w:pPr>
      <w:r>
        <w:rPr>
          <w:rFonts w:ascii="Times New Roman" w:cs="Times New Roman" w:eastAsia="Times New Roman" w:hAnsi="Times New Roman"/>
          <w:b/>
          <w:bCs/>
          <w:i w:val="false"/>
          <w:iCs w:val="false"/>
          <w:sz w:val="24"/>
          <w:szCs w:val="24"/>
        </w:rPr>
        <w:t xml:space="preserve">Безпека та комплаєнс:</w:t>
      </w:r>
    </w:p>
    <w:p>
      <w:pPr>
        <w:pStyle w:val="ListParagraph"/>
        <w:numPr>
          <w:ilvl w:val="0"/>
          <w:numId w:val="2"/>
        </w:numPr>
        <w:spacing w:after="100" w:line="360"/>
      </w:pPr>
      <w:r>
        <w:rPr>
          <w:rFonts w:ascii="Times New Roman" w:cs="Times New Roman" w:eastAsia="Times New Roman" w:hAnsi="Times New Roman"/>
          <w:sz w:val="24"/>
          <w:szCs w:val="24"/>
        </w:rPr>
        <w:t xml:space="preserve">Автентифікація користувачів реалізується на основі JWT-токенів із часом дії access-токена не більше 15 хвилин.</w:t>
      </w:r>
    </w:p>
    <w:p>
      <w:pPr>
        <w:pStyle w:val="ListParagraph"/>
        <w:numPr>
          <w:ilvl w:val="0"/>
          <w:numId w:val="2"/>
        </w:numPr>
        <w:spacing w:after="100" w:line="360"/>
      </w:pPr>
      <w:r>
        <w:rPr>
          <w:rFonts w:ascii="Times New Roman" w:cs="Times New Roman" w:eastAsia="Times New Roman" w:hAnsi="Times New Roman"/>
          <w:sz w:val="24"/>
          <w:szCs w:val="24"/>
        </w:rPr>
        <w:t xml:space="preserve">Рольова модель доступу (RBAC) розмежовує права власника та працівника на рівні API-ендпоінтів.</w:t>
      </w:r>
    </w:p>
    <w:p>
      <w:pPr>
        <w:pStyle w:val="ListParagraph"/>
        <w:numPr>
          <w:ilvl w:val="0"/>
          <w:numId w:val="2"/>
        </w:numPr>
        <w:spacing w:after="100" w:line="360"/>
      </w:pPr>
      <w:r>
        <w:rPr>
          <w:rFonts w:ascii="Times New Roman" w:cs="Times New Roman" w:eastAsia="Times New Roman" w:hAnsi="Times New Roman"/>
          <w:sz w:val="24"/>
          <w:szCs w:val="24"/>
        </w:rPr>
        <w:t xml:space="preserve">Передача файлів до стороннього LLM API супроводжується мінімізацією персональних даних відповідно до вимог Закону України «Про захист персональних даних».</w:t>
      </w:r>
    </w:p>
    <w:p>
      <w:pPr>
        <w:pStyle w:val="ListParagraph"/>
        <w:numPr>
          <w:ilvl w:val="0"/>
          <w:numId w:val="2"/>
        </w:numPr>
        <w:spacing w:after="100" w:line="360"/>
      </w:pPr>
      <w:r>
        <w:rPr>
          <w:rFonts w:ascii="Times New Roman" w:cs="Times New Roman" w:eastAsia="Times New Roman" w:hAnsi="Times New Roman"/>
          <w:sz w:val="24"/>
          <w:szCs w:val="24"/>
        </w:rPr>
        <w:t xml:space="preserve">Статичний аналіз коду та сканування образів контейнерів (Trivy) інтегровано у CI/CD конвеєр як обов'язковий Quality Gate.</w:t>
      </w:r>
    </w:p>
    <w:p>
      <w:pPr>
        <w:spacing w:after="160" w:line="360"/>
        <w:jc w:val="both"/>
      </w:pPr>
      <w:r>
        <w:rPr>
          <w:rFonts w:ascii="Times New Roman" w:cs="Times New Roman" w:eastAsia="Times New Roman" w:hAnsi="Times New Roman"/>
          <w:b/>
          <w:bCs/>
          <w:i w:val="false"/>
          <w:iCs w:val="false"/>
          <w:sz w:val="24"/>
          <w:szCs w:val="24"/>
        </w:rPr>
        <w:t xml:space="preserve">Надійність та інфраструктурні обмеження:</w:t>
      </w:r>
    </w:p>
    <w:p>
      <w:pPr>
        <w:pStyle w:val="ListParagraph"/>
        <w:numPr>
          <w:ilvl w:val="0"/>
          <w:numId w:val="2"/>
        </w:numPr>
        <w:spacing w:after="100" w:line="360"/>
      </w:pPr>
      <w:r>
        <w:rPr>
          <w:rFonts w:ascii="Times New Roman" w:cs="Times New Roman" w:eastAsia="Times New Roman" w:hAnsi="Times New Roman"/>
          <w:sz w:val="24"/>
          <w:szCs w:val="24"/>
        </w:rPr>
        <w:t xml:space="preserve">Система розгортається у контейнеризованому середовищі (Docker Compose) із можливістю горизонтального масштабування воркерів обробки документів.</w:t>
      </w:r>
    </w:p>
    <w:p>
      <w:pPr>
        <w:pStyle w:val="ListParagraph"/>
        <w:numPr>
          <w:ilvl w:val="0"/>
          <w:numId w:val="2"/>
        </w:numPr>
        <w:spacing w:after="100" w:line="360"/>
      </w:pPr>
      <w:r>
        <w:rPr>
          <w:rFonts w:ascii="Times New Roman" w:cs="Times New Roman" w:eastAsia="Times New Roman" w:hAnsi="Times New Roman"/>
          <w:sz w:val="24"/>
          <w:szCs w:val="24"/>
        </w:rPr>
        <w:t xml:space="preserve">Механізм Dead Letter Queue забезпечує збереження необроблених завдань для повторної обробки без втрати даних.</w:t>
      </w:r>
    </w:p>
    <w:p>
      <w:pPr>
        <w:pStyle w:val="ListParagraph"/>
        <w:numPr>
          <w:ilvl w:val="0"/>
          <w:numId w:val="2"/>
        </w:numPr>
        <w:spacing w:after="100" w:line="360"/>
      </w:pPr>
      <w:r>
        <w:rPr>
          <w:rFonts w:ascii="Times New Roman" w:cs="Times New Roman" w:eastAsia="Times New Roman" w:hAnsi="Times New Roman"/>
          <w:sz w:val="24"/>
          <w:szCs w:val="24"/>
        </w:rPr>
        <w:t xml:space="preserve">Резервне копіювання бази даних PostgreSQL виконується щодобово з терміном зберігання не менше 14 днів.</w:t>
      </w:r>
    </w:p>
    <w:p>
      <w:pPr>
        <w:pStyle w:val="Heading3"/>
        <w:spacing w:after="120" w:before="200"/>
      </w:pPr>
      <w:r>
        <w:rPr>
          <w:rFonts w:ascii="Times New Roman" w:cs="Times New Roman" w:eastAsia="Times New Roman" w:hAnsi="Times New Roman"/>
          <w:b/>
          <w:bCs/>
          <w:i/>
          <w:iCs/>
          <w:sz w:val="24"/>
          <w:szCs w:val="24"/>
        </w:rPr>
        <w:t xml:space="preserve">Постановка задачі</w:t>
      </w:r>
    </w:p>
    <w:p>
      <w:pPr>
        <w:spacing w:after="160" w:line="360"/>
        <w:jc w:val="both"/>
      </w:pPr>
      <w:r>
        <w:rPr>
          <w:rFonts w:ascii="Times New Roman" w:cs="Times New Roman" w:eastAsia="Times New Roman" w:hAnsi="Times New Roman"/>
          <w:b w:val="false"/>
          <w:bCs w:val="false"/>
          <w:i w:val="false"/>
          <w:iCs w:val="false"/>
          <w:sz w:val="24"/>
          <w:szCs w:val="24"/>
        </w:rPr>
        <w:t xml:space="preserve">Таким чином, метою кваліфікаційної роботи є проєктування та розробка веб-платформи складського обліку з подієво-керованим конвеєром інтелектуальної обробки документів (Intelligent Document Processing) для вирішення задачі автоматизованого розпізнавання та обліку товарних накладних постачальників малого торговельного підприємства, обробка яких на сьогодні здійснюється виключно засобами ручного введення даних.</w:t>
      </w:r>
    </w:p>
    <w:p>
      <w:pPr>
        <w:pStyle w:val="Heading2"/>
        <w:spacing w:after="160" w:before="320"/>
      </w:pPr>
      <w:r>
        <w:rPr>
          <w:rFonts w:ascii="Times New Roman" w:cs="Times New Roman" w:eastAsia="Times New Roman" w:hAnsi="Times New Roman"/>
          <w:b/>
          <w:bCs/>
          <w:sz w:val="26"/>
          <w:szCs w:val="26"/>
        </w:rPr>
        <w:t xml:space="preserve">Висновки до розділу 1</w:t>
      </w:r>
    </w:p>
    <w:p>
      <w:pPr>
        <w:spacing w:after="160" w:line="360"/>
        <w:jc w:val="both"/>
      </w:pPr>
      <w:r>
        <w:rPr>
          <w:rFonts w:ascii="Times New Roman" w:cs="Times New Roman" w:eastAsia="Times New Roman" w:hAnsi="Times New Roman"/>
          <w:b w:val="false"/>
          <w:bCs w:val="false"/>
          <w:i w:val="false"/>
          <w:iCs w:val="false"/>
          <w:sz w:val="24"/>
          <w:szCs w:val="24"/>
        </w:rPr>
        <w:t xml:space="preserve">Проведений аналіз ринку готових програмних рішень встановив, що поширені облікові системи для малого бізнесу автоматизують приймання товару виключно за умови підключення постачальника через електронний документообіг або попередньо узгоджений формат імпорту, тоді як обробка документів довільного постачальника у форматі фотографії чи PDF залишається поза межами їхнього функціоналу та відтворюється засобами виключно ручного введення даних, що є джерелом помилок обліку та втрат часу.</w:t>
      </w:r>
    </w:p>
    <w:p>
      <w:pPr>
        <w:spacing w:after="160" w:line="360"/>
        <w:jc w:val="both"/>
      </w:pPr>
      <w:r>
        <w:rPr>
          <w:rFonts w:ascii="Times New Roman" w:cs="Times New Roman" w:eastAsia="Times New Roman" w:hAnsi="Times New Roman"/>
          <w:b w:val="false"/>
          <w:bCs w:val="false"/>
          <w:i w:val="false"/>
          <w:iCs w:val="false"/>
          <w:sz w:val="24"/>
          <w:szCs w:val="24"/>
        </w:rPr>
        <w:t xml:space="preserve">Обґрунтовано, що впровадження асинхронної подієво-керованої архітектури з гібридним конвеєром розпізнавання (OCR у поєднанні з LLM) та гібридним зіставленням найменувань (нечіткий пошук і векторні ембедінги) безпосередньо усуває вузькі місця, виявлені в моделі As-Is: залежність від ручного введення, фрагментацію каталогу через різне написання назв товарів та реактивний характер поповнення запасів. Сформульовані нефункціональні вимоги у вигляді вимірюваних індустріальних метрик (Latency на p95-перцентилі, пропускна здатність черги обробки, параметри автентифікації) встановлюють кількісний критерій оцінювання відповідності реалізації поставленій інженерній задачі.</w:t>
      </w:r>
    </w:p>
    <w:p>
      <w:pPr>
        <w:spacing w:after="160" w:line="360"/>
        <w:jc w:val="both"/>
      </w:pPr>
      <w:r>
        <w:rPr>
          <w:rFonts w:ascii="Times New Roman" w:cs="Times New Roman" w:eastAsia="Times New Roman" w:hAnsi="Times New Roman"/>
          <w:b w:val="false"/>
          <w:bCs w:val="false"/>
          <w:i w:val="false"/>
          <w:iCs w:val="false"/>
          <w:sz w:val="24"/>
          <w:szCs w:val="24"/>
        </w:rPr>
        <w:t xml:space="preserve">Аналітичне та практичне вирішення викладених у цьому розділі питань, а також безпосередня технічна реалізація сформульованих вимог, становитимуть предмет поглибленого аналізу у Розділі 2 (Проєктування архітектури) та Розділі 3 (Реалізація програмного рішення).</w:t>
      </w:r>
    </w:p>
    <w:sectPr>
      <w:pgSz w:w="11906" w:h="16838" w:orient="portrait"/>
      <w:pgMar w:top="1418"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abstractNum w:abstractNumId="3" w15:restartNumberingAfterBreak="0">
    <w:multiLevelType w:val="hybridMultilevel"/>
    <w:lvl w:ilvl="0" w: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2026-10-27T17:59:25.052Z</dcterms:created>
  <dcterms:modified xsi:type="dcterms:W3CDTF">2026-10-27T17:59:25.061Z</dcterms:modified>
</cp:coreProperties>
</file>

<file path=docProps/custom.xml><?xml version="1.0" encoding="utf-8"?>
<Properties xmlns="http://schemas.openxmlformats.org/officeDocument/2006/custom-properties" xmlns:vt="http://schemas.openxmlformats.org/officeDocument/2006/docPropsVTypes"/>
</file>