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Агентское соглашение №qsqs</w:t>
      </w:r>
    </w:p>
    <w:p>
      <w:r>
        <w:t>Дата: 12.12.1998</w:t>
      </w:r>
    </w:p>
    <w:p>
      <w:r>
        <w:t>Агент: wdqw</w:t>
      </w:r>
    </w:p>
    <w:p>
      <w:r>
        <w:t>Принципал: dqwdqw</w:t>
      </w:r>
    </w:p>
    <w:p>
      <w:r>
        <w:t>Вознаграждение: 3444</w:t>
      </w:r>
    </w:p>
    <w:p>
      <w:r>
        <w:t>Реквизиты сторон: 12e123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