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1F4E79"/>
          <w:sz w:val="36"/>
          <w:szCs w:val="36"/>
        </w:rPr>
        <w:t xml:space="preserve">Análisis de experimento Three-Species Benchmark</w:t>
      </w:r>
    </w:p>
    <w:p>
      <w:pPr>
        <w:spacing w:after="100"/>
        <w:jc w:val="center"/>
      </w:pPr>
      <w:r>
        <w:rPr>
          <w:color w:val="555555"/>
          <w:sz w:val="24"/>
          <w:szCs w:val="24"/>
        </w:rPr>
        <w:t xml:space="preserve">Proteómica cuantitativa LC-MS/MS DDA — PatternLab for Proteomics</w:t>
      </w:r>
    </w:p>
    <w:p>
      <w:pPr>
        <w:spacing w:after="400"/>
        <w:jc w:val="center"/>
      </w:pPr>
      <w:r>
        <w:rPr>
          <w:color w:val="888888"/>
          <w:sz w:val="20"/>
          <w:szCs w:val="20"/>
        </w:rPr>
        <w:t xml:space="preserve">Corrida 1 Triple STD | Análisis: 17-04-2026</w:t>
      </w:r>
    </w:p>
    <w:p>
      <w:pPr>
        <w:pStyle w:val="Heading1"/>
        <w:spacing w:after="200" w:before="360"/>
      </w:pPr>
      <w:r>
        <w:rPr>
          <w:b/>
          <w:bCs/>
          <w:color w:val="2E5F8A"/>
          <w:sz w:val="28"/>
          <w:szCs w:val="28"/>
        </w:rPr>
        <w:t xml:space="preserve">Resumen ejecutivo</w:t>
      </w:r>
    </w:p>
    <w:p>
      <w:pPr>
        <w:spacing w:after="160" w:line="276"/>
        <w:jc w:val="both"/>
      </w:pPr>
      <w:r>
        <w:rPr>
          <w:sz w:val="22"/>
          <w:szCs w:val="22"/>
        </w:rPr>
        <w:t xml:space="preserve">El experimento three-species benchmark evalúa la exactitud cuantitativa de un flujo de trabajo LC-MS/MS DDA procesado con PatternLab for Proteomics. Se emplearon dos condiciones: Condición A (70% Homo sapiens / 20% Escherichia coli / 10% Saccharomyces cerevisiae) y Condición B (70% H. sapiens / 10% E. coli / 20% S. cerevisiae), con fold changes teóricos A/B de FC = 2 (log2FC = +1.0) para E. coli, FC = 0.5 (log2FC = −1.0) para Yeast y FC = 1 (log2FC = 0) para Human.</w:t>
      </w:r>
    </w:p>
    <w:p>
      <w:pPr>
        <w:spacing w:after="160" w:line="276"/>
        <w:jc w:val="both"/>
      </w:pPr>
      <w:r>
        <w:rPr>
          <w:sz w:val="22"/>
          <w:szCs w:val="22"/>
        </w:rPr>
        <w:t xml:space="preserve">El hallazgo central del análisis es un desvío sistemático y consistente en E. coli: la mediana log2FC observada fue +1.376 en el análisis Pairwise y +1.626 en TFold-Blue, correspondientes a fold changes lineales de 2.60x y 3.09x respectivamente, frente al valor teórico de 2.00x. Este desvío (+29.8% y +54.4% en escala lineal) no es explicable por error de volumen con conservación de masa (ya que Yeast se comporta cercano al esperado), sino que señala hacia un error de concentración en el stock de E. coli. Yeast mostró un desvío menor y en dirección opuesta (Pairwise: −0.145 log2). En términos discriminativos, TFold-Blue alcanzó una sensibilidad de 91.6% para E. coli y 79.2% para Yeast, con una tasa de falsos positivos del 9.6% para proteínas Human (FDR empírico = 25.3%), frente al 0.37% del análisis Pairwise.</w:t>
      </w:r>
    </w:p>
    <w:p>
      <w:pPr>
        <w:spacing w:after="80"/>
      </w:pPr>
      <w:r>
        <w:t xml:space="preserve"/>
      </w:r>
    </w:p>
    <w:p>
      <w:pPr>
        <w:pStyle w:val="Heading1"/>
        <w:spacing w:after="200" w:before="360"/>
      </w:pPr>
      <w:r>
        <w:rPr>
          <w:b/>
          <w:bCs/>
          <w:color w:val="2E5F8A"/>
          <w:sz w:val="28"/>
          <w:szCs w:val="28"/>
        </w:rPr>
        <w:t xml:space="preserve">1. Análisis descriptivo de los datos</w:t>
      </w:r>
    </w:p>
    <w:p>
      <w:pPr>
        <w:pStyle w:val="Heading2"/>
        <w:spacing w:after="140" w:before="280"/>
      </w:pPr>
      <w:r>
        <w:rPr>
          <w:b/>
          <w:bCs/>
          <w:color w:val="1F4E79"/>
          <w:sz w:val="24"/>
          <w:szCs w:val="24"/>
        </w:rPr>
        <w:t xml:space="preserve">1.1 Dataset Pairwise (nivel peptídico)</w:t>
      </w:r>
    </w:p>
    <w:p>
      <w:pPr>
        <w:spacing w:after="160" w:line="276"/>
        <w:jc w:val="both"/>
      </w:pPr>
      <w:r>
        <w:rPr>
          <w:sz w:val="22"/>
          <w:szCs w:val="22"/>
        </w:rPr>
        <w:t xml:space="preserve">El análisis Pairwise identificó 272 proteínas con diferencia estadísticamente significativa entre condiciones A y B. La distribución por organismo muestra una marcada asimetría: 257 corresponden a E. coli (94.5% del total), 13 a S. cerevisiae (4.8%) y 1 a H. sapiens (0.4%). La dirección del fold change fue consistente en todos los casos: el 100% de las proteínas de E. coli presentaron log2FC positivo (enriquecidas en condición A), mientras que el 100% de las de Yeast y la única Human mostraron log2FC negativo.</w:t>
      </w:r>
    </w:p>
    <w:p>
      <w:pPr>
        <w:spacing w:after="160" w:line="276"/>
        <w:jc w:val="both"/>
      </w:pPr>
      <w:r>
        <w:rPr>
          <w:sz w:val="22"/>
          <w:szCs w:val="22"/>
        </w:rPr>
        <w:t xml:space="preserve">Para E. coli </w:t>
      </w:r>
      <w:r>
        <w:rPr>
          <w:b/>
          <w:bCs/>
          <w:sz w:val="22"/>
          <w:szCs w:val="22"/>
        </w:rPr>
        <w:t xml:space="preserve">(n = 257)</w:t>
      </w:r>
      <w:r>
        <w:rPr>
          <w:sz w:val="22"/>
          <w:szCs w:val="22"/>
        </w:rPr>
        <w:t xml:space="preserve">, la mediana del log2FC fue </w:t>
      </w:r>
      <w:r>
        <w:rPr>
          <w:b/>
          <w:bCs/>
          <w:sz w:val="22"/>
          <w:szCs w:val="22"/>
        </w:rPr>
        <w:t xml:space="preserve">+1.376</w:t>
      </w:r>
      <w:r>
        <w:rPr>
          <w:sz w:val="22"/>
          <w:szCs w:val="22"/>
        </w:rPr>
        <w:t xml:space="preserve"> (media ± SD: 1.382 ± 0.212), con percentiles p5–p95 de 1.076–1.729. La distribución es estrecha y unimodal, lo que indica una estimación de fold change altamente coherente entre proteínas de E. coli procesadas en el mismo experimento. Para </w:t>
      </w:r>
      <w:r>
        <w:rPr>
          <w:b/>
          <w:bCs/>
          <w:sz w:val="22"/>
          <w:szCs w:val="22"/>
        </w:rPr>
        <w:t xml:space="preserve">Yeast (n = 13)</w:t>
      </w:r>
      <w:r>
        <w:rPr>
          <w:sz w:val="22"/>
          <w:szCs w:val="22"/>
        </w:rPr>
        <w:t xml:space="preserve">, la mediana fue </w:t>
      </w:r>
      <w:r>
        <w:rPr>
          <w:b/>
          <w:bCs/>
          <w:sz w:val="22"/>
          <w:szCs w:val="22"/>
        </w:rPr>
        <w:t xml:space="preserve">−1.145</w:t>
      </w:r>
      <w:r>
        <w:rPr>
          <w:sz w:val="22"/>
          <w:szCs w:val="22"/>
        </w:rPr>
        <w:t xml:space="preserve"> (media ± SD: −1.226 ± 0.251), con todos los valores en el rango −1.777 a −1.006. La escasez de proteínas de Yeast significativas en Pairwise (13 de las ~226 cuantificadas en TFold, véase Sección 1.2) sugiere una menor potencia estadística en el nivel peptídico para este organismo, posiblemente por menor redundancia de péptidos (menor cobertura por proteína en una muestra con solo 10–20% de proporción relativa).</w:t>
      </w:r>
    </w:p>
    <w:p>
      <w:pPr>
        <w:spacing w:after="80"/>
      </w:pPr>
      <w:r>
        <w:t xml:space="preserve"/>
      </w:r>
    </w:p>
    <w:p>
      <w:pPr>
        <w:pStyle w:val="Heading2"/>
        <w:spacing w:after="140" w:before="280"/>
      </w:pPr>
      <w:r>
        <w:rPr>
          <w:b/>
          <w:bCs/>
          <w:color w:val="1F4E79"/>
          <w:sz w:val="24"/>
          <w:szCs w:val="24"/>
        </w:rPr>
        <w:t xml:space="preserve">1.2 Dataset TFold (nivel proteína)</w:t>
      </w:r>
    </w:p>
    <w:p>
      <w:pPr>
        <w:spacing w:after="160" w:line="276"/>
        <w:jc w:val="both"/>
      </w:pPr>
      <w:r>
        <w:rPr>
          <w:sz w:val="22"/>
          <w:szCs w:val="22"/>
        </w:rPr>
        <w:t xml:space="preserve">El análisis TFold cuantificó 1921 proteínas en total: 250 de E. coli (13.0%), 226 de S. cerevisiae (11.8%) y 1445 de H. sapiens (75.2%). Las proteínas se distribuyeron en tres categorías según los criterios de TFold (Carvalho et al., 2012): 546 Blue Dots (28.4%), 613 Green Dots (32.0%) y 762 Red Dots (39.7%). Los parámetros de análisis fueron F-stringency z = 0.01, q-value ≤ 0.05 (BH), L-stringency = 0 y normalización por señal total.</w:t>
      </w:r>
    </w:p>
    <w:p>
      <w:pPr>
        <w:spacing w:after="160" w:line="276"/>
        <w:jc w:val="both"/>
      </w:pPr>
      <w:r>
        <w:rPr>
          <w:sz w:val="22"/>
          <w:szCs w:val="22"/>
        </w:rPr>
        <w:t xml:space="preserve">En la categoría Blue Dots (las más confiables, que superan tanto el umbral de fold change variable como la corrección por FDR), se identificaron 229 proteínas de E. coli, 179 de Yeast y 138 de Human. En la categoría Green Dots (significativas estadísticamente pero sin superar el umbral de fold change TFold) figuran 21 proteínas de E. coli, 32 de Yeast y 560 de Human. La ausencia de proteínas de E. coli en la categoría Red Dots es consistente con que el fold change real entre condiciones es lo suficientemente grande como para ser captado por el umbral TFold variable con alta sensibilidad.</w:t>
      </w:r>
    </w:p>
    <w:p>
      <w:pPr>
        <w:spacing w:after="80"/>
      </w:pPr>
      <w:r>
        <w:t xml:space="preserve"/>
      </w:r>
    </w:p>
    <w:p>
      <w:pPr>
        <w:pStyle w:val="Heading2"/>
        <w:spacing w:after="140" w:before="280"/>
      </w:pPr>
      <w:r>
        <w:rPr>
          <w:b/>
          <w:bCs/>
          <w:color w:val="1F4E79"/>
          <w:sz w:val="24"/>
          <w:szCs w:val="24"/>
        </w:rPr>
        <w:t xml:space="preserve">1.3 Estadísticas de log2FC por método y organismo</w:t>
      </w:r>
    </w:p>
    <w:p>
      <w:pPr>
        <w:spacing w:after="100"/>
        <w:jc w:val="center"/>
      </w:pPr>
      <w:r>
        <w:rPr>
          <w:i/>
          <w:iCs/>
          <w:color w:val="555555"/>
          <w:sz w:val="18"/>
          <w:szCs w:val="18"/>
        </w:rPr>
        <w:t xml:space="preserve">Tabla 1. Estadísticas descriptivas del log2FC por dataset y organismo.</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00"/>
        <w:gridCol w:w="1000"/>
        <w:gridCol w:w="1000"/>
        <w:gridCol w:w="800"/>
        <w:gridCol w:w="1100"/>
        <w:gridCol w:w="860"/>
      </w:tblGrid>
      <w:tr>
        <w:trPr>
          <w:tblHeader/>
        </w:trPr>
        <w:tc>
          <w:tcPr>
            <w:tcW w:type="dxa" w:w="18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pPr>
              <w:jc w:val="center"/>
            </w:pPr>
            <w:r>
              <w:rPr>
                <w:b/>
                <w:bCs/>
                <w:color w:val="FFFFFF"/>
                <w:sz w:val="18"/>
                <w:szCs w:val="18"/>
              </w:rPr>
              <w:t xml:space="preserve">Dataset</w:t>
            </w:r>
          </w:p>
        </w:tc>
        <w:tc>
          <w:tcPr>
            <w:tcW w:type="dxa" w:w="14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pPr>
              <w:jc w:val="center"/>
            </w:pPr>
            <w:r>
              <w:rPr>
                <w:b/>
                <w:bCs/>
                <w:color w:val="FFFFFF"/>
                <w:sz w:val="18"/>
                <w:szCs w:val="18"/>
              </w:rPr>
              <w:t xml:space="preserve">Organismo</w:t>
            </w:r>
          </w:p>
        </w:tc>
        <w:tc>
          <w:tcPr>
            <w:tcW w:type="dxa" w:w="6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pPr>
              <w:jc w:val="center"/>
            </w:pPr>
            <w:r>
              <w:rPr>
                <w:b/>
                <w:bCs/>
                <w:color w:val="FFFFFF"/>
                <w:sz w:val="18"/>
                <w:szCs w:val="18"/>
              </w:rPr>
              <w:t xml:space="preserve">n</w:t>
            </w:r>
          </w:p>
        </w:tc>
        <w:tc>
          <w:tcPr>
            <w:tcW w:type="dxa" w:w="10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pPr>
              <w:jc w:val="center"/>
            </w:pPr>
            <w:r>
              <w:rPr>
                <w:b/>
                <w:bCs/>
                <w:color w:val="FFFFFF"/>
                <w:sz w:val="18"/>
                <w:szCs w:val="18"/>
              </w:rPr>
              <w:t xml:space="preserve">Mediana
log2FC</w:t>
            </w:r>
          </w:p>
        </w:tc>
        <w:tc>
          <w:tcPr>
            <w:tcW w:type="dxa" w:w="10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pPr>
              <w:jc w:val="center"/>
            </w:pPr>
            <w:r>
              <w:rPr>
                <w:b/>
                <w:bCs/>
                <w:color w:val="FFFFFF"/>
                <w:sz w:val="18"/>
                <w:szCs w:val="18"/>
              </w:rPr>
              <w:t xml:space="preserve">Media
log2FC</w:t>
            </w:r>
          </w:p>
        </w:tc>
        <w:tc>
          <w:tcPr>
            <w:tcW w:type="dxa" w:w="8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pPr>
              <w:jc w:val="center"/>
            </w:pPr>
            <w:r>
              <w:rPr>
                <w:b/>
                <w:bCs/>
                <w:color w:val="FFFFFF"/>
                <w:sz w:val="18"/>
                <w:szCs w:val="18"/>
              </w:rPr>
              <w:t xml:space="preserve">SD</w:t>
            </w:r>
          </w:p>
        </w:tc>
        <w:tc>
          <w:tcPr>
            <w:tcW w:type="dxa" w:w="11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pPr>
              <w:jc w:val="center"/>
            </w:pPr>
            <w:r>
              <w:rPr>
                <w:b/>
                <w:bCs/>
                <w:color w:val="FFFFFF"/>
                <w:sz w:val="18"/>
                <w:szCs w:val="18"/>
              </w:rPr>
              <w:t xml:space="preserve">Esperado
log2FC</w:t>
            </w:r>
          </w:p>
        </w:tc>
        <w:tc>
          <w:tcPr>
            <w:tcW w:type="dxa" w:w="86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pPr>
              <w:jc w:val="center"/>
            </w:pPr>
            <w:r>
              <w:rPr>
                <w:b/>
                <w:bCs/>
                <w:color w:val="FFFFFF"/>
                <w:sz w:val="18"/>
                <w:szCs w:val="18"/>
              </w:rPr>
              <w:t xml:space="preserve">Desvío</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sz w:val="18"/>
                <w:szCs w:val="18"/>
              </w:rPr>
              <w:t xml:space="preserve">Pairwise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E. coli</w:t>
            </w:r>
          </w:p>
        </w:tc>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257</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1.376</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1.382</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0.212</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+1.000</w:t>
            </w:r>
          </w:p>
        </w:tc>
        <w:tc>
          <w:tcPr>
            <w:tcW w:type="dxa" w:w="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+0.376</w:t>
            </w:r>
          </w:p>
        </w:tc>
      </w:tr>
      <w:tr>
        <w:tc>
          <w:tcPr>
            <w:tcW w:type="dxa" w:w="1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left"/>
            </w:pPr>
            <w:r>
              <w:rPr>
                <w:sz w:val="18"/>
                <w:szCs w:val="18"/>
              </w:rPr>
              <w:t xml:space="preserve">Pairwise</w:t>
            </w:r>
          </w:p>
        </w:tc>
        <w:tc>
          <w:tcPr>
            <w:tcW w:type="dxa" w:w="14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Yeast</w:t>
            </w:r>
          </w:p>
        </w:tc>
        <w:tc>
          <w:tcPr>
            <w:tcW w:type="dxa" w:w="6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13</w:t>
            </w:r>
          </w:p>
        </w:tc>
        <w:tc>
          <w:tcPr>
            <w:tcW w:type="dxa" w:w="1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-1.145</w:t>
            </w:r>
          </w:p>
        </w:tc>
        <w:tc>
          <w:tcPr>
            <w:tcW w:type="dxa" w:w="1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-1.226</w:t>
            </w:r>
          </w:p>
        </w:tc>
        <w:tc>
          <w:tcPr>
            <w:tcW w:type="dxa" w:w="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0.251</w:t>
            </w:r>
          </w:p>
        </w:tc>
        <w:tc>
          <w:tcPr>
            <w:tcW w:type="dxa" w:w="11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-1.000</w:t>
            </w:r>
          </w:p>
        </w:tc>
        <w:tc>
          <w:tcPr>
            <w:tcW w:type="dxa" w:w="8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-0.145</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sz w:val="18"/>
                <w:szCs w:val="18"/>
              </w:rPr>
              <w:t xml:space="preserve">Pairwise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Human</w:t>
            </w:r>
          </w:p>
        </w:tc>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-1.097</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-1.097</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0.000</w:t>
            </w:r>
          </w:p>
        </w:tc>
        <w:tc>
          <w:tcPr>
            <w:tcW w:type="dxa" w:w="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-1.097</w:t>
            </w:r>
          </w:p>
        </w:tc>
      </w:tr>
      <w:tr>
        <w:tc>
          <w:tcPr>
            <w:tcW w:type="dxa" w:w="1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left"/>
            </w:pPr>
            <w:r>
              <w:rPr>
                <w:sz w:val="18"/>
                <w:szCs w:val="18"/>
              </w:rPr>
              <w:t xml:space="preserve">TFold-Blue</w:t>
            </w:r>
          </w:p>
        </w:tc>
        <w:tc>
          <w:tcPr>
            <w:tcW w:type="dxa" w:w="14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E. coli</w:t>
            </w:r>
          </w:p>
        </w:tc>
        <w:tc>
          <w:tcPr>
            <w:tcW w:type="dxa" w:w="6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229</w:t>
            </w:r>
          </w:p>
        </w:tc>
        <w:tc>
          <w:tcPr>
            <w:tcW w:type="dxa" w:w="1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1.626</w:t>
            </w:r>
          </w:p>
        </w:tc>
        <w:tc>
          <w:tcPr>
            <w:tcW w:type="dxa" w:w="1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1.764</w:t>
            </w:r>
          </w:p>
        </w:tc>
        <w:tc>
          <w:tcPr>
            <w:tcW w:type="dxa" w:w="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0.485</w:t>
            </w:r>
          </w:p>
        </w:tc>
        <w:tc>
          <w:tcPr>
            <w:tcW w:type="dxa" w:w="11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+1.000</w:t>
            </w:r>
          </w:p>
        </w:tc>
        <w:tc>
          <w:tcPr>
            <w:tcW w:type="dxa" w:w="8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+0.626</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sz w:val="18"/>
                <w:szCs w:val="18"/>
              </w:rPr>
              <w:t xml:space="preserve">TFold-Blue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Yeast</w:t>
            </w:r>
          </w:p>
        </w:tc>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179</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-0.829</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-0.937</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0.453</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-1.000</w:t>
            </w:r>
          </w:p>
        </w:tc>
        <w:tc>
          <w:tcPr>
            <w:tcW w:type="dxa" w:w="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+0.171</w:t>
            </w:r>
          </w:p>
        </w:tc>
      </w:tr>
      <w:tr>
        <w:tc>
          <w:tcPr>
            <w:tcW w:type="dxa" w:w="1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left"/>
            </w:pPr>
            <w:r>
              <w:rPr>
                <w:sz w:val="18"/>
                <w:szCs w:val="18"/>
              </w:rPr>
              <w:t xml:space="preserve">TFold-Blue</w:t>
            </w:r>
          </w:p>
        </w:tc>
        <w:tc>
          <w:tcPr>
            <w:tcW w:type="dxa" w:w="14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Human</w:t>
            </w:r>
          </w:p>
        </w:tc>
        <w:tc>
          <w:tcPr>
            <w:tcW w:type="dxa" w:w="6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138</w:t>
            </w:r>
          </w:p>
        </w:tc>
        <w:tc>
          <w:tcPr>
            <w:tcW w:type="dxa" w:w="1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-0.252</w:t>
            </w:r>
          </w:p>
        </w:tc>
        <w:tc>
          <w:tcPr>
            <w:tcW w:type="dxa" w:w="1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-0.220</w:t>
            </w:r>
          </w:p>
        </w:tc>
        <w:tc>
          <w:tcPr>
            <w:tcW w:type="dxa" w:w="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0.658</w:t>
            </w:r>
          </w:p>
        </w:tc>
        <w:tc>
          <w:tcPr>
            <w:tcW w:type="dxa" w:w="11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0.000</w:t>
            </w:r>
          </w:p>
        </w:tc>
        <w:tc>
          <w:tcPr>
            <w:tcW w:type="dxa" w:w="8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-0.252</w:t>
            </w:r>
          </w:p>
        </w:tc>
      </w:tr>
    </w:tbl>
    <w:p>
      <w:pPr>
        <w:spacing w:after="80"/>
      </w:pPr>
      <w:r>
        <w:t xml:space="preserve"/>
      </w:r>
    </w:p>
    <w:p>
      <w:pPr>
        <w:spacing w:after="160" w:line="276"/>
        <w:jc w:val="both"/>
      </w:pPr>
      <w:r>
        <w:rPr>
          <w:sz w:val="22"/>
          <w:szCs w:val="22"/>
        </w:rPr>
        <w:t xml:space="preserve">La SD del log2FC en TFold-Blue es consistentemente mayor que en Pairwise para ambos organismos diferenciales (E. coli: 0.485 vs. 0.212; Yeast: 0.453 vs. 0.251). Esto refleja que TFold incorpora proteínas con menor número de péptidos cuantificadores (mediana Count = 3 réplicas por grupo), lo que amplifica el ruido estocástico inherente a DDA. En Pairwise, el filtro por número de péptidos y la integración a nivel de espectro tienden a reducir la varianza.</w:t>
      </w:r>
    </w:p>
    <w:p>
      <w:pPr>
        <w:spacing w:after="80"/>
      </w:pPr>
      <w:r>
        <w:t xml:space="preserve"/>
      </w:r>
    </w:p>
    <w:p>
      <w:pPr>
        <w:pStyle w:val="Heading2"/>
        <w:spacing w:after="140" w:before="280"/>
      </w:pPr>
      <w:r>
        <w:rPr>
          <w:b/>
          <w:bCs/>
          <w:color w:val="1F4E79"/>
          <w:sz w:val="24"/>
          <w:szCs w:val="24"/>
        </w:rPr>
        <w:t xml:space="preserve">1.4 Overlap entre Pairwise y TFold-Blue</w:t>
      </w:r>
    </w:p>
    <w:p>
      <w:pPr>
        <w:spacing w:after="100"/>
        <w:jc w:val="center"/>
      </w:pPr>
      <w:r>
        <w:rPr>
          <w:i/>
          <w:iCs/>
          <w:color w:val="555555"/>
          <w:sz w:val="18"/>
          <w:szCs w:val="18"/>
        </w:rPr>
        <w:t xml:space="preserve">Tabla 2. Correspondencia entre el set Pairwise significativo y las categorías TFold.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1400"/>
      </w:tblGrid>
      <w:tr>
        <w:trPr>
          <w:tblHeader/>
        </w:trPr>
        <w:tc>
          <w:tcPr>
            <w:tcW w:type="dxa" w:w="24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pPr>
              <w:jc w:val="center"/>
            </w:pPr>
            <w:r>
              <w:rPr>
                <w:b/>
                <w:bCs/>
                <w:color w:val="FFFFFF"/>
                <w:sz w:val="18"/>
                <w:szCs w:val="18"/>
              </w:rPr>
              <w:t xml:space="preserve">Comparación</w:t>
            </w:r>
          </w:p>
        </w:tc>
        <w:tc>
          <w:tcPr>
            <w:tcW w:type="dxa" w:w="16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pPr>
              <w:jc w:val="center"/>
            </w:pPr>
            <w:r>
              <w:rPr>
                <w:b/>
                <w:bCs/>
                <w:color w:val="FFFFFF"/>
                <w:sz w:val="18"/>
                <w:szCs w:val="18"/>
              </w:rPr>
              <w:t xml:space="preserve">Pairwise sig.</w:t>
            </w:r>
          </w:p>
        </w:tc>
        <w:tc>
          <w:tcPr>
            <w:tcW w:type="dxa" w:w="16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pPr>
              <w:jc w:val="center"/>
            </w:pPr>
            <w:r>
              <w:rPr>
                <w:b/>
                <w:bCs/>
                <w:color w:val="FFFFFF"/>
                <w:sz w:val="18"/>
                <w:szCs w:val="18"/>
              </w:rPr>
              <w:t xml:space="preserve">TFold Blue</w:t>
            </w:r>
          </w:p>
        </w:tc>
        <w:tc>
          <w:tcPr>
            <w:tcW w:type="dxa" w:w="16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pPr>
              <w:jc w:val="center"/>
            </w:pPr>
            <w:r>
              <w:rPr>
                <w:b/>
                <w:bCs/>
                <w:color w:val="FFFFFF"/>
                <w:sz w:val="18"/>
                <w:szCs w:val="18"/>
              </w:rPr>
              <w:t xml:space="preserve">Intersección</w:t>
            </w:r>
          </w:p>
        </w:tc>
        <w:tc>
          <w:tcPr>
            <w:tcW w:type="dxa" w:w="14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pPr>
              <w:jc w:val="center"/>
            </w:pPr>
            <w:r>
              <w:rPr>
                <w:b/>
                <w:bCs/>
                <w:color w:val="FFFFFF"/>
                <w:sz w:val="18"/>
                <w:szCs w:val="18"/>
              </w:rPr>
              <w:t xml:space="preserve">Solo Pairwise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sz w:val="18"/>
                <w:szCs w:val="18"/>
              </w:rPr>
              <w:t xml:space="preserve">Conteo proteínas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272</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546</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215</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45</w:t>
            </w:r>
          </w:p>
        </w:tc>
      </w:tr>
      <w:tr>
        <w:tc>
          <w:tcPr>
            <w:tcW w:type="dxa" w:w="24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left"/>
            </w:pPr>
            <w:r>
              <w:rPr>
                <w:sz w:val="18"/>
                <w:szCs w:val="18"/>
              </w:rPr>
              <w:t xml:space="preserve">Pairwise ∩ TFold-Green</w:t>
            </w:r>
          </w:p>
        </w:tc>
        <w:tc>
          <w:tcPr>
            <w:tcW w:type="dxa" w:w="16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w:t>
            </w:r>
          </w:p>
        </w:tc>
        <w:tc>
          <w:tcPr>
            <w:tcW w:type="dxa" w:w="16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613 (Green)</w:t>
            </w:r>
          </w:p>
        </w:tc>
        <w:tc>
          <w:tcPr>
            <w:tcW w:type="dxa" w:w="16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12</w:t>
            </w:r>
          </w:p>
        </w:tc>
        <w:tc>
          <w:tcPr>
            <w:tcW w:type="dxa" w:w="14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sz w:val="18"/>
                <w:szCs w:val="18"/>
              </w:rPr>
              <w:t xml:space="preserve">Pairwise ∩ TFold-Red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762 (Red)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w:t>
            </w:r>
          </w:p>
        </w:tc>
      </w:tr>
    </w:tbl>
    <w:p>
      <w:pPr>
        <w:spacing w:after="80"/>
      </w:pPr>
      <w:r>
        <w:t xml:space="preserve"/>
      </w:r>
    </w:p>
    <w:p>
      <w:pPr>
        <w:spacing w:after="160" w:line="276"/>
        <w:jc w:val="both"/>
      </w:pPr>
      <w:r>
        <w:rPr>
          <w:sz w:val="22"/>
          <w:szCs w:val="22"/>
        </w:rPr>
        <w:t xml:space="preserve">De las 272 proteínas significativas en Pairwise, 215 (79.0%) también figuran en TFold-Blue, confirmando una alta concordancia entre métodos para los candidatos diferenciales más robustos. Doce proteínas del set Pairwise aparecen como Green Dots en TFold (significativas estadísticamente pero por debajo del umbral de fold change variable), y ninguna se ubica en Red Dots. Las 45 proteínas presentes en Pairwise pero no en ninguna categoría TFold representan el 16.5% del set Pairwise; su ausencia en TFold puede explicarse por diferencias en los criterios de identificación y cuantificación entre ambos módulos de PatternLab.</w:t>
      </w:r>
    </w:p>
    <w:p>
      <w:pPr>
        <w:spacing w:after="80"/>
      </w:pPr>
      <w:r>
        <w:t xml:space="preserve"/>
      </w:r>
    </w:p>
    <w:p>
      <w:pPr>
        <w:pStyle w:val="Heading1"/>
        <w:spacing w:after="200" w:before="360"/>
      </w:pPr>
      <w:r>
        <w:rPr>
          <w:b/>
          <w:bCs/>
          <w:color w:val="2E5F8A"/>
          <w:sz w:val="28"/>
          <w:szCs w:val="28"/>
        </w:rPr>
        <w:t xml:space="preserve">2. Cuantificación del desvío de E. coli</w:t>
      </w:r>
    </w:p>
    <w:p>
      <w:pPr>
        <w:pStyle w:val="Heading2"/>
        <w:spacing w:after="140" w:before="280"/>
      </w:pPr>
      <w:r>
        <w:rPr>
          <w:b/>
          <w:bCs/>
          <w:color w:val="1F4E79"/>
          <w:sz w:val="24"/>
          <w:szCs w:val="24"/>
        </w:rPr>
        <w:t xml:space="preserve">2.1 Magnitud del desvío observado</w:t>
      </w:r>
    </w:p>
    <w:p>
      <w:pPr>
        <w:spacing w:after="160" w:line="276"/>
        <w:jc w:val="both"/>
      </w:pPr>
      <w:r>
        <w:rPr>
          <w:sz w:val="22"/>
          <w:szCs w:val="22"/>
        </w:rPr>
        <w:t xml:space="preserve">El fold change observado de E. coli supera consistentemente el valor teórico en ambos análisis. En Pairwise, la mediana log2FC = </w:t>
      </w:r>
      <w:r>
        <w:rPr>
          <w:b/>
          <w:bCs/>
          <w:sz w:val="22"/>
          <w:szCs w:val="22"/>
        </w:rPr>
        <w:t xml:space="preserve">+1.376</w:t>
      </w:r>
      <w:r>
        <w:rPr>
          <w:sz w:val="22"/>
          <w:szCs w:val="22"/>
        </w:rPr>
        <w:t xml:space="preserve"> implica un FC lineal de </w:t>
      </w:r>
      <w:r>
        <w:rPr>
          <w:b/>
          <w:bCs/>
          <w:sz w:val="22"/>
          <w:szCs w:val="22"/>
        </w:rPr>
        <w:t xml:space="preserve">2.60x</w:t>
      </w:r>
      <w:r>
        <w:rPr>
          <w:sz w:val="22"/>
          <w:szCs w:val="22"/>
        </w:rPr>
        <w:t xml:space="preserve"> frente al valor teórico de 2.00x, con un desvío de +0.376 log2 (+29.8% en escala lineal). En TFold-Blue, la mediana log2FC = </w:t>
      </w:r>
      <w:r>
        <w:rPr>
          <w:b/>
          <w:bCs/>
          <w:sz w:val="22"/>
          <w:szCs w:val="22"/>
        </w:rPr>
        <w:t xml:space="preserve">+1.626</w:t>
      </w:r>
      <w:r>
        <w:rPr>
          <w:sz w:val="22"/>
          <w:szCs w:val="22"/>
        </w:rPr>
        <w:t xml:space="preserve"> equivale a 3.09x, con un desvío de +0.626 log2 (+54.4%). La diferencia de magnitud entre los dos métodos se discute en la Sección 2.3.</w:t>
      </w:r>
    </w:p>
    <w:p>
      <w:pPr>
        <w:spacing w:after="80"/>
      </w:pPr>
      <w:r>
        <w:t xml:space="preserve"/>
      </w:r>
    </w:p>
    <w:p>
      <w:pPr>
        <w:pStyle w:val="Heading2"/>
        <w:spacing w:after="140" w:before="280"/>
      </w:pPr>
      <w:r>
        <w:rPr>
          <w:b/>
          <w:bCs/>
          <w:color w:val="1F4E79"/>
          <w:sz w:val="24"/>
          <w:szCs w:val="24"/>
        </w:rPr>
        <w:t xml:space="preserve">2.2 Análisis de hipótesis sobre el origen del desvío</w:t>
      </w:r>
    </w:p>
    <w:p>
      <w:pPr>
        <w:spacing w:after="100"/>
      </w:pPr>
      <w:r>
        <w:rPr>
          <w:b/>
          <w:bCs/>
          <w:sz w:val="22"/>
          <w:szCs w:val="22"/>
        </w:rPr>
        <w:t xml:space="preserve">Hipótesis 1: error de pipeteo con conservación de volumen</w:t>
      </w:r>
    </w:p>
    <w:p>
      <w:pPr>
        <w:spacing w:after="160" w:line="276"/>
        <w:jc w:val="both"/>
      </w:pPr>
      <w:r>
        <w:rPr>
          <w:sz w:val="22"/>
          <w:szCs w:val="22"/>
        </w:rPr>
        <w:t xml:space="preserve">Si el desvío fuera consecuencia de un error de pipeteo al preparar la mezcla con conservación del volumen total (por ejemplo, haber pipeteado 26 µL de E. coli en lugar de 20 µL en la condición A, reemplazando volumen de Yeast), la fracción relativa de Yeast en A sería: %Yeast_A = 100 − 70 − 26 = 4%, resultando en un FC lineal teórico para Yeast de 4/20 = 0.20 (log2FC = −2.31). Sin embargo, el log2FC observado para Yeast en Pairwise es −1.145, con una diferencia de 1.16 log2 respecto a esta predicción. La hipótesis de error de volumen con conservación es, por lo tanto, inconsistente con los datos.</w:t>
      </w:r>
    </w:p>
    <w:p>
      <w:pPr>
        <w:spacing w:after="100"/>
      </w:pPr>
      <w:r>
        <w:rPr>
          <w:b/>
          <w:bCs/>
          <w:sz w:val="22"/>
          <w:szCs w:val="22"/>
        </w:rPr>
        <w:t xml:space="preserve">Hipótesis 2: error en la concentración del stock de E. coli</w:t>
      </w:r>
    </w:p>
    <w:p>
      <w:pPr>
        <w:spacing w:after="160" w:line="276"/>
        <w:jc w:val="both"/>
      </w:pPr>
      <w:r>
        <w:rPr>
          <w:sz w:val="22"/>
          <w:szCs w:val="22"/>
        </w:rPr>
        <w:t xml:space="preserve">La hipótesis más consistente con los datos es que el stock de E. coli empleado en la condición A tenía una concentración aproximadamente 30% mayor a la nominal (o, equivalentemente, que la relación de concentración real entre stocks A y B era ~2.60 en lugar de 2.00). En este caso, el volumen pipeteado fue correcto pero la masa de proteína E. coli transferida a la condición A fue mayor a la esperada, sin afectar la proporción de Yeast ni de Human. El hecho de que Yeast se comporte cercano a su valor teórico (log2FC = −1.145 vs. −1.000) refuerza que el error está localizado en el stock de E. coli y no en la pipeta o en el volumen total.</w:t>
      </w:r>
    </w:p>
    <w:p>
      <w:pPr>
        <w:spacing w:after="160" w:line="276"/>
        <w:jc w:val="both"/>
      </w:pPr>
      <w:r>
        <w:rPr>
          <w:sz w:val="22"/>
          <w:szCs w:val="22"/>
        </w:rPr>
        <w:t xml:space="preserve">Bajo esta hipótesis, la concentración real del stock de E. coli en condición A habría sido </w:t>
      </w:r>
      <w:r>
        <w:rPr>
          <w:b/>
          <w:bCs/>
          <w:sz w:val="22"/>
          <w:szCs w:val="22"/>
        </w:rPr>
        <w:t xml:space="preserve">~29.8% mayor a la nominal</w:t>
      </w:r>
      <w:r>
        <w:rPr>
          <w:sz w:val="22"/>
          <w:szCs w:val="22"/>
        </w:rPr>
        <w:t xml:space="preserve"> (según Pairwise). Esto equivale a que la masa real de E. coli en condición A fue ~26.0 µg equivalentes por cada 20 µg nominales, lo que puede ser atribuible a: (a) imprecisión en la cuantificación por BCA/Bradford del stock de E. coli, (b) diferencias en el estado de dilución entre réplicas, o (c) variación en la eficiencia de digestión tríptica del stock.</w:t>
      </w:r>
    </w:p>
    <w:p>
      <w:pPr>
        <w:spacing w:after="100"/>
      </w:pPr>
      <w:r>
        <w:rPr>
          <w:b/>
          <w:bCs/>
          <w:sz w:val="22"/>
          <w:szCs w:val="22"/>
        </w:rPr>
        <w:t xml:space="preserve">Hipótesis 3: sesgo de normalización TFold</w:t>
      </w:r>
    </w:p>
    <w:p>
      <w:pPr>
        <w:spacing w:after="160" w:line="276"/>
        <w:jc w:val="both"/>
      </w:pPr>
      <w:r>
        <w:rPr>
          <w:sz w:val="22"/>
          <w:szCs w:val="22"/>
        </w:rPr>
        <w:t xml:space="preserve">La normalización por señal total empleada en TFold puede introducir un sesgo sistemático si la señal total de una condición está inflada por la mayor abundancia de E. coli. El desplazamiento observado en Human (mediana TFold-Blue = −0.252 log2 vs. esperado 0.000) indica un offset negativo global de ~0.252 log2. Sin embargo, este offset va en dirección opuesta a lo que explicaría la sobreestimación de E. coli: si el sesgo fuera la causa, la corrección del offset aumentaría aún más el log2FC estimado de E. coli (+1.626 + 0.252 = +1.878). Se concluye que el desvío de E. coli es independiente del sesgo de normalización y refleja una diferencia real en la composición de la muestra.</w:t>
      </w:r>
    </w:p>
    <w:p>
      <w:pPr>
        <w:spacing w:after="80"/>
      </w:pPr>
      <w:r>
        <w:t xml:space="preserve"/>
      </w:r>
    </w:p>
    <w:p>
      <w:pPr>
        <w:pStyle w:val="Heading2"/>
        <w:spacing w:after="140" w:before="280"/>
      </w:pPr>
      <w:r>
        <w:rPr>
          <w:b/>
          <w:bCs/>
          <w:color w:val="1F4E79"/>
          <w:sz w:val="24"/>
          <w:szCs w:val="24"/>
        </w:rPr>
        <w:t xml:space="preserve">2.3 Diferencia de desvío entre Pairwise y TFold</w:t>
      </w:r>
    </w:p>
    <w:p>
      <w:pPr>
        <w:spacing w:after="160" w:line="276"/>
        <w:jc w:val="both"/>
      </w:pPr>
      <w:r>
        <w:rPr>
          <w:sz w:val="22"/>
          <w:szCs w:val="22"/>
        </w:rPr>
        <w:t xml:space="preserve">El desvío observado en TFold-Blue (+0.626 log2) es mayor que en Pairwise (+0.376 log2). Esta diferencia se explica principalmente por la menor cobertura peptídica de las proteínas detectadas en TFold: al capturar proteínas con solo 3 réplicas y menor número de péptidos cuantificadores, la varianza por proteína es mayor y el estimado de FC se desplaza hacia valores más extremos para las proteínas de señal baja o intermedia. El análisis Pairwise, al agregar múltiples péptidos por proteína y filtrar por p-valor, tiende a producir estimados de FC más cercanos al valor central real.</w:t>
      </w:r>
    </w:p>
    <w:p>
      <w:pPr>
        <w:spacing w:after="80"/>
      </w:pPr>
      <w:r>
        <w:t xml:space="preserve"/>
      </w:r>
    </w:p>
    <w:p>
      <w:pPr>
        <w:pStyle w:val="Heading1"/>
        <w:spacing w:after="200" w:before="360"/>
      </w:pPr>
      <w:r>
        <w:rPr>
          <w:b/>
          <w:bCs/>
          <w:color w:val="2E5F8A"/>
          <w:sz w:val="28"/>
          <w:szCs w:val="28"/>
        </w:rPr>
        <w:t xml:space="preserve">3. Evaluación de la capacidad discriminativa del método</w:t>
      </w:r>
    </w:p>
    <w:p>
      <w:pPr>
        <w:pStyle w:val="Heading2"/>
        <w:spacing w:after="140" w:before="280"/>
      </w:pPr>
      <w:r>
        <w:rPr>
          <w:b/>
          <w:bCs/>
          <w:color w:val="1F4E79"/>
          <w:sz w:val="24"/>
          <w:szCs w:val="24"/>
        </w:rPr>
        <w:t xml:space="preserve">3.1 Sensibilidad por organismo</w:t>
      </w:r>
    </w:p>
    <w:p>
      <w:pPr>
        <w:spacing w:after="100"/>
        <w:jc w:val="center"/>
      </w:pPr>
      <w:r>
        <w:rPr>
          <w:i/>
          <w:iCs/>
          <w:color w:val="555555"/>
          <w:sz w:val="18"/>
          <w:szCs w:val="18"/>
        </w:rPr>
        <w:t xml:space="preserve">Tabla 3. Capacidad discriminativa por organismo (TFold).</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900"/>
        <w:gridCol w:w="900"/>
        <w:gridCol w:w="1100"/>
        <w:gridCol w:w="1000"/>
        <w:gridCol w:w="1000"/>
      </w:tblGrid>
      <w:tr>
        <w:trPr>
          <w:tblHeader/>
        </w:trPr>
        <w:tc>
          <w:tcPr>
            <w:tcW w:type="dxa" w:w="16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pPr>
              <w:jc w:val="center"/>
            </w:pPr>
            <w:r>
              <w:rPr>
                <w:b/>
                <w:bCs/>
                <w:color w:val="FFFFFF"/>
                <w:sz w:val="18"/>
                <w:szCs w:val="18"/>
              </w:rPr>
              <w:t xml:space="preserve">Organismo</w:t>
            </w:r>
          </w:p>
        </w:tc>
        <w:tc>
          <w:tcPr>
            <w:tcW w:type="dxa" w:w="9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pPr>
              <w:jc w:val="center"/>
            </w:pPr>
            <w:r>
              <w:rPr>
                <w:b/>
                <w:bCs/>
                <w:color w:val="FFFFFF"/>
                <w:sz w:val="18"/>
                <w:szCs w:val="18"/>
              </w:rPr>
              <w:t xml:space="preserve">Total
cuant.</w:t>
            </w:r>
          </w:p>
        </w:tc>
        <w:tc>
          <w:tcPr>
            <w:tcW w:type="dxa" w:w="9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pPr>
              <w:jc w:val="center"/>
            </w:pPr>
            <w:r>
              <w:rPr>
                <w:b/>
                <w:bCs/>
                <w:color w:val="FFFFFF"/>
                <w:sz w:val="18"/>
                <w:szCs w:val="18"/>
              </w:rPr>
              <w:t xml:space="preserve">Blue
(TFold)</w:t>
            </w:r>
          </w:p>
        </w:tc>
        <w:tc>
          <w:tcPr>
            <w:tcW w:type="dxa" w:w="9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pPr>
              <w:jc w:val="center"/>
            </w:pPr>
            <w:r>
              <w:rPr>
                <w:b/>
                <w:bCs/>
                <w:color w:val="FFFFFF"/>
                <w:sz w:val="18"/>
                <w:szCs w:val="18"/>
              </w:rPr>
              <w:t xml:space="preserve">Green
(TFold)</w:t>
            </w:r>
          </w:p>
        </w:tc>
        <w:tc>
          <w:tcPr>
            <w:tcW w:type="dxa" w:w="11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pPr>
              <w:jc w:val="center"/>
            </w:pPr>
            <w:r>
              <w:rPr>
                <w:b/>
                <w:bCs/>
                <w:color w:val="FFFFFF"/>
                <w:sz w:val="18"/>
                <w:szCs w:val="18"/>
              </w:rPr>
              <w:t xml:space="preserve">Red
(TFold)</w:t>
            </w:r>
          </w:p>
        </w:tc>
        <w:tc>
          <w:tcPr>
            <w:tcW w:type="dxa" w:w="10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pPr>
              <w:jc w:val="center"/>
            </w:pPr>
            <w:r>
              <w:rPr>
                <w:b/>
                <w:bCs/>
                <w:color w:val="FFFFFF"/>
                <w:sz w:val="18"/>
                <w:szCs w:val="18"/>
              </w:rPr>
              <w:t xml:space="preserve">Sensit.
(Blue/Total)</w:t>
            </w:r>
          </w:p>
        </w:tc>
        <w:tc>
          <w:tcPr>
            <w:tcW w:type="dxa" w:w="10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vAlign w:val="center"/>
          </w:tcPr>
          <w:p>
            <w:pPr>
              <w:jc w:val="center"/>
            </w:pPr>
            <w:r>
              <w:rPr>
                <w:b/>
                <w:bCs/>
                <w:color w:val="FFFFFF"/>
                <w:sz w:val="18"/>
                <w:szCs w:val="18"/>
              </w:rPr>
              <w:t xml:space="preserve">FN
(Green+Red)</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sz w:val="18"/>
                <w:szCs w:val="18"/>
              </w:rPr>
              <w:t xml:space="preserve">E. coli</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250</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229</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21</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91.6%</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21 (8.4%)</w:t>
            </w:r>
          </w:p>
        </w:tc>
      </w:tr>
      <w:tr>
        <w:tc>
          <w:tcPr>
            <w:tcW w:type="dxa" w:w="16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left"/>
            </w:pPr>
            <w:r>
              <w:rPr>
                <w:sz w:val="18"/>
                <w:szCs w:val="18"/>
              </w:rPr>
              <w:t xml:space="preserve">Yeast</w:t>
            </w:r>
          </w:p>
        </w:tc>
        <w:tc>
          <w:tcPr>
            <w:tcW w:type="dxa" w:w="9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226</w:t>
            </w:r>
          </w:p>
        </w:tc>
        <w:tc>
          <w:tcPr>
            <w:tcW w:type="dxa" w:w="9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179</w:t>
            </w:r>
          </w:p>
        </w:tc>
        <w:tc>
          <w:tcPr>
            <w:tcW w:type="dxa" w:w="9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32</w:t>
            </w:r>
          </w:p>
        </w:tc>
        <w:tc>
          <w:tcPr>
            <w:tcW w:type="dxa" w:w="11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15</w:t>
            </w:r>
          </w:p>
        </w:tc>
        <w:tc>
          <w:tcPr>
            <w:tcW w:type="dxa" w:w="1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79.2%</w:t>
            </w:r>
          </w:p>
        </w:tc>
        <w:tc>
          <w:tcPr>
            <w:tcW w:type="dxa" w:w="1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pPr>
              <w:jc w:val="center"/>
            </w:pPr>
            <w:r>
              <w:rPr>
                <w:sz w:val="18"/>
                <w:szCs w:val="18"/>
              </w:rPr>
              <w:t xml:space="preserve">47 (20.8%)</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sz w:val="18"/>
                <w:szCs w:val="18"/>
              </w:rPr>
              <w:t xml:space="preserve">Human</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1445</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138</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560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747</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9.6% (FP)</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sz w:val="18"/>
                <w:szCs w:val="18"/>
              </w:rPr>
              <w:t xml:space="preserve">—</w:t>
            </w:r>
          </w:p>
        </w:tc>
      </w:tr>
    </w:tbl>
    <w:p>
      <w:pPr>
        <w:spacing w:after="80"/>
      </w:pPr>
      <w:r>
        <w:t xml:space="preserve"/>
      </w:r>
    </w:p>
    <w:p>
      <w:pPr>
        <w:spacing w:after="160" w:line="276"/>
        <w:jc w:val="both"/>
      </w:pPr>
      <w:r>
        <w:rPr>
          <w:sz w:val="22"/>
          <w:szCs w:val="22"/>
        </w:rPr>
        <w:t xml:space="preserve">TFold alcanzó una </w:t>
      </w:r>
      <w:r>
        <w:rPr>
          <w:b/>
          <w:bCs/>
          <w:sz w:val="22"/>
          <w:szCs w:val="22"/>
        </w:rPr>
        <w:t xml:space="preserve">sensibilidad del 91.6%</w:t>
      </w:r>
      <w:r>
        <w:rPr>
          <w:sz w:val="22"/>
          <w:szCs w:val="22"/>
        </w:rPr>
        <w:t xml:space="preserve"> para E. coli (229/250 proteínas cuantificadas clasificadas en Blue Dots) y del </w:t>
      </w:r>
      <w:r>
        <w:rPr>
          <w:b/>
          <w:bCs/>
          <w:sz w:val="22"/>
          <w:szCs w:val="22"/>
        </w:rPr>
        <w:t xml:space="preserve">79.2%</w:t>
      </w:r>
      <w:r>
        <w:rPr>
          <w:sz w:val="22"/>
          <w:szCs w:val="22"/>
        </w:rPr>
        <w:t xml:space="preserve"> para Yeast (179/226). Los 21 falsos negativos de E. coli (8.4%) se encuentran en Green Dots, es decir, pasaron el umbral estadístico pero no el de fold change variable TFold; esto sugiere que son proteínas de baja abundancia o con alta variabilidad entre réplicas, donde el FC estimado queda por debajo del umbral TFold aunque el p-valor sea significativo. Para Yeast, los 47 falsos negativos (20.8%) se distribuyen en 32 Green Dots y 15 Red Dots; la mayor proporción de FN en Yeast es consistente con su menor FC teórico (0.5x) y la consecuente menor separación respecto al ruido de fondo.</w:t>
      </w:r>
    </w:p>
    <w:p>
      <w:pPr>
        <w:spacing w:after="80"/>
      </w:pPr>
      <w:r>
        <w:t xml:space="preserve"/>
      </w:r>
    </w:p>
    <w:p>
      <w:pPr>
        <w:pStyle w:val="Heading2"/>
        <w:spacing w:after="140" w:before="280"/>
      </w:pPr>
      <w:r>
        <w:rPr>
          <w:b/>
          <w:bCs/>
          <w:color w:val="1F4E79"/>
          <w:sz w:val="24"/>
          <w:szCs w:val="24"/>
        </w:rPr>
        <w:t xml:space="preserve">3.2 Tasa de falsos positivos y FDR empírico</w:t>
      </w:r>
    </w:p>
    <w:p>
      <w:pPr>
        <w:spacing w:after="160" w:line="276"/>
        <w:jc w:val="both"/>
      </w:pPr>
      <w:r>
        <w:rPr>
          <w:sz w:val="22"/>
          <w:szCs w:val="22"/>
        </w:rPr>
        <w:t xml:space="preserve">Un total de 138 proteínas de H. sapiens (9.6% de las 1445 cuantificadas) figuran en TFold-Blue, constituyendo falsos positivos empíricos dado que su fold change teórico es 1.0 (log2FC = 0). El </w:t>
      </w:r>
      <w:r>
        <w:rPr>
          <w:b/>
          <w:bCs/>
          <w:sz w:val="22"/>
          <w:szCs w:val="22"/>
        </w:rPr>
        <w:t xml:space="preserve">FDR empírico de TFold-Blue es del 25.3%</w:t>
      </w:r>
      <w:r>
        <w:rPr>
          <w:sz w:val="22"/>
          <w:szCs w:val="22"/>
        </w:rPr>
        <w:t xml:space="preserve"> (138 FP / 546 Blue Dots totales), considerablemente superior al umbral estadístico nominal (q-value = 0.05). Esta discrepancia entre FDR nominal y empírico es característica de estudios de proteómica cuantitativa y refleja que el método estadístico no captura toda la varianza biológica y técnica real del experimento. Las 138 proteínas Human de Blue Dots tienen una distribución de log2FC con mediana = −0.252, media = −0.220 y rango de −3.001 a +3.245; 47 (34.1%) tienen |log2FC| &gt; 0.5 y 14 (10.1%) tienen |log2FC| &gt; 1.0, indicando que un subconjunto de estas proteínas muestra variabilidad técnica real entre condiciones que es captada como significativa.</w:t>
      </w:r>
    </w:p>
    <w:p>
      <w:pPr>
        <w:spacing w:after="160" w:line="276"/>
        <w:jc w:val="both"/>
      </w:pPr>
      <w:r>
        <w:rPr>
          <w:sz w:val="22"/>
          <w:szCs w:val="22"/>
        </w:rPr>
        <w:t xml:space="preserve">En contraste, el análisis Pairwise mostró un FDR empírico de 0.37% (1 Human sobre 271 proteínas diferenciales con organismo definido), lo que refleja su mayor especificidad. Esta diferencia se explica por la naturaleza complementaria de los dos métodos: Pairwise aplica criterios de selección más estrictos (p-valor a nivel peptídico + agrupación proteína) con lo cual la tasa de FP se reduce a expensas de una menor sensibilidad global.</w:t>
      </w:r>
    </w:p>
    <w:p>
      <w:pPr>
        <w:spacing w:after="80"/>
      </w:pPr>
      <w:r>
        <w:t xml:space="preserve"/>
      </w:r>
    </w:p>
    <w:p>
      <w:pPr>
        <w:pStyle w:val="Heading1"/>
        <w:spacing w:after="200" w:before="360"/>
      </w:pPr>
      <w:r>
        <w:rPr>
          <w:b/>
          <w:bCs/>
          <w:color w:val="2E5F8A"/>
          <w:sz w:val="28"/>
          <w:szCs w:val="28"/>
        </w:rPr>
        <w:t xml:space="preserve">4. Secciones para la tesis</w:t>
      </w:r>
    </w:p>
    <w:p>
      <w:pPr>
        <w:pStyle w:val="Heading2"/>
        <w:spacing w:after="140" w:before="280"/>
      </w:pPr>
      <w:r>
        <w:rPr>
          <w:b/>
          <w:bCs/>
          <w:color w:val="1F4E79"/>
          <w:sz w:val="24"/>
          <w:szCs w:val="24"/>
        </w:rPr>
        <w:t xml:space="preserve">4.1 Resultados</w:t>
      </w:r>
    </w:p>
    <w:p>
      <w:pPr>
        <w:spacing w:after="160" w:line="276"/>
        <w:jc w:val="both"/>
      </w:pPr>
      <w:r>
        <w:rPr>
          <w:sz w:val="22"/>
          <w:szCs w:val="22"/>
        </w:rPr>
        <w:t xml:space="preserve">Con el objetivo de evaluar la exactitud cuantitativa del flujo de trabajo LC-MS/MS DDA implementado, se realizó un experimento three-species benchmark con mezclas en proporciones definidas de proteínas de H. sapiens, E. coli y S. cerevisiae, de modo tal que los fold changes teóricos entre condiciones resultaron conocidos a priori (FC_coli = 2.0, FC_yeast = 0.5, FC_human = 1.0).</w:t>
      </w:r>
    </w:p>
    <w:p>
      <w:pPr>
        <w:spacing w:after="160" w:line="276"/>
        <w:jc w:val="both"/>
      </w:pPr>
      <w:r>
        <w:rPr>
          <w:sz w:val="22"/>
          <w:szCs w:val="22"/>
        </w:rPr>
        <w:t xml:space="preserve">El análisis Pairwise a nivel peptídico identificó 272 proteínas con diferencias estadísticamente significativas, de las cuales 257 correspondieron a E. coli (94.5%), 13 a S. cerevisiae (4.8%) y 1 a H. sapiens (0.4%). El 100% de las proteínas de E. coli presentó fold changes positivos (enriquecidas en condición A) y el 100% de las de Yeast negativos, en concordancia con las proporciones del diseño experimental. La mediana del log2FC para E. coli fue +1.376 (SD = 0.212) y para Yeast fue −1.145 (SD = 0.251).</w:t>
      </w:r>
    </w:p>
    <w:p>
      <w:pPr>
        <w:spacing w:after="160" w:line="276"/>
        <w:jc w:val="both"/>
      </w:pPr>
      <w:r>
        <w:rPr>
          <w:sz w:val="22"/>
          <w:szCs w:val="22"/>
        </w:rPr>
        <w:t xml:space="preserve">Respecto a los valores teóricos esperados (log2FC_coli = +1.000; log2FC_yeast = −1.000), E. coli presentó un </w:t>
      </w:r>
      <w:r>
        <w:rPr>
          <w:b/>
          <w:bCs/>
          <w:sz w:val="22"/>
          <w:szCs w:val="22"/>
        </w:rPr>
        <w:t xml:space="preserve">desvío sistemático de +0.376 log2</w:t>
      </w:r>
      <w:r>
        <w:rPr>
          <w:sz w:val="22"/>
          <w:szCs w:val="22"/>
        </w:rPr>
        <w:t xml:space="preserve"> (correspondiente a un FC lineal observado de 2.60x frente al teórico de 2.00x, es decir, una sobreestimación del 29.8%), mientras que Yeast exhibió un desvío menor de −0.145 log2 (FC observado 0.452x vs. teórico 0.500x, −9.5%). El análisis de coherencia interna demostró que estos desvíos son incompatibles con un error de pipeteo volumétrico con conservación de masa: si el exceso de E. coli en condición A fuera resultado de pipetear 26 µL en lugar de 20 µL (con el volumen restante siendo Yeast), el FC esperado para Yeast sería 0.20x (log2FC = −2.31), inconsistente con el valor observado de −1.145. La hipótesis más parsimoniosa es un error de concentración del stock de E. coli de aproximadamente 30% sobre el valor nominal.</w:t>
      </w:r>
    </w:p>
    <w:p>
      <w:pPr>
        <w:spacing w:after="160" w:line="276"/>
        <w:jc w:val="both"/>
      </w:pPr>
      <w:r>
        <w:rPr>
          <w:sz w:val="22"/>
          <w:szCs w:val="22"/>
        </w:rPr>
        <w:t xml:space="preserve">El análisis TFold (Carvalho et al., 2012), aplicado sobre el conjunto completo de 1921 proteínas cuantificadas (250 E. coli, 226 Yeast, 1445 Human), identificó 546 Blue Dots (proteínas que superan tanto el umbral TFold de fold change variable como el criterio BH q ≤ 0.05), 613 Green Dots (significativas estadísticamente pero no por fold change) y 762 Red Dots (no significativas). La sensibilidad de TFold para identificar proteínas diferenciales fue del 91.6% para E. coli (229/250) y del 79.2% para Yeast (179/226). La tasa de falsos positivos empírica fue del 9.6% para proteínas de H. sapiens en Blue Dots (138/1445), resultando en un FDR empírico del 25.3% sobre el total de Blue Dots (138/546). De las 272 proteínas identificadas por Pairwise, 215 (79.0%) coincidieron con el set TFold-Blue, confirmando una alta concordancia entre métodos para los candidatos diferenciales más robustos.</w:t>
      </w:r>
    </w:p>
    <w:p>
      <w:pPr>
        <w:spacing w:after="80"/>
      </w:pPr>
      <w:r>
        <w:t xml:space="preserve"/>
      </w:r>
    </w:p>
    <w:p>
      <w:pPr>
        <w:pStyle w:val="Heading2"/>
        <w:spacing w:after="140" w:before="280"/>
      </w:pPr>
      <w:r>
        <w:rPr>
          <w:b/>
          <w:bCs/>
          <w:color w:val="1F4E79"/>
          <w:sz w:val="24"/>
          <w:szCs w:val="24"/>
        </w:rPr>
        <w:t xml:space="preserve">4.2 Discusión</w:t>
      </w:r>
    </w:p>
    <w:p>
      <w:pPr>
        <w:spacing w:after="160" w:line="276"/>
        <w:jc w:val="both"/>
      </w:pPr>
      <w:r>
        <w:rPr>
          <w:sz w:val="22"/>
          <w:szCs w:val="22"/>
        </w:rPr>
        <w:t xml:space="preserve">Los resultados del experimento three-species benchmark permiten evaluar tanto la exactitud cuantitativa del método como sus limitaciones inherentes. En primer lugar, la correcta discriminación de la dirección del fold change para E. coli (enriquecida en A) y Yeast (enriquecida en B) demuestra que el flujo de trabajo LC-MS/MS DDA implementado en PatternLab for Proteomics es capaz de detectar diferencias de abundancia del orden de 2x con alta sensibilidad (91.6% para E. coli) y especificidad aceptable en el análisis Pairwise (FDR empírico = 0.37%). Estos valores son consistentes con benchmarks reportados en la literatura para flujos de trabajo DDA estándar con mezclas de proteínas conocidas (Navarro et al., 2016; Röst et al., 2017).</w:t>
      </w:r>
    </w:p>
    <w:p>
      <w:pPr>
        <w:spacing w:after="160" w:line="276"/>
        <w:jc w:val="both"/>
      </w:pPr>
      <w:r>
        <w:rPr>
          <w:sz w:val="22"/>
          <w:szCs w:val="22"/>
        </w:rPr>
        <w:t xml:space="preserve">La sobreestimación sistemática del fold change de E. coli (+29.8% en Pairwise, +54.4% en TFold-Blue) constituye el hallazgo más relevante en términos de control de calidad experimental. El análisis de coherencia interna descarta un error de pipeteo volumétrico simple como causa principal, ya que implicaría un desvío de Yeast mucho mayor al observado. La hipótesis más plausible es un error en la estimación de la concentración del stock de E. coli, del orden del 30% sobre el valor nominal. Fuentes comunes de este tipo de error incluyen la imprecisión en la cuantificación espectrofotométrica de proteínas (coeficiente de variación típico del BCA: 5–15%), diferencias en la composición de aminoácidos y absortividad molar entre organismos, y la presencia de compuestos interferentes en el extracto bacteriano. Para futuros experimentos, se recomienda la cuantificación del stock por métodos absolutos (p.ej. LC-MS con proteínas estándar marcadas) o la verificación post-hoc de las proporciones mediante la mediana del fold change de proteínas de alta confianza.</w:t>
      </w:r>
    </w:p>
    <w:p>
      <w:pPr>
        <w:spacing w:after="160" w:line="276"/>
        <w:jc w:val="both"/>
      </w:pPr>
      <w:r>
        <w:rPr>
          <w:sz w:val="22"/>
          <w:szCs w:val="22"/>
        </w:rPr>
        <w:t xml:space="preserve">La mayor amplitud del desvío en TFold-Blue respecto a Pairwise (+0.626 vs. +0.376 log2) puede explicarse por la naturaleza de la selección: TFold incorpora proteínas con mayor varianza individual (menor cobertura peptídica), lo que amplifica el sesgo preexistente en la muestra. El offset negativo observado en proteínas Human en TFold-Blue (mediana = −0.252 log2) indica además un desplazamiento sistemático de la distribución hacia condición B, atribuible en parte a la normalización por señal total: si la condición A contiene más proteína de E. coli de lo esperado, su señal total es mayor, y la normalización la escala hacia abajo, arrastrando levemente las proteínas invariantes de Human hacia valores negativos. Este efecto es intrínseco a la normalización por señal total y no sería corregido por normalización por mediana a menos que la especie mayoritaria (Human, 70%) sea suficientemente abundante para anclar la mediana global.</w:t>
      </w:r>
    </w:p>
    <w:p>
      <w:pPr>
        <w:spacing w:after="160" w:line="276"/>
        <w:jc w:val="both"/>
      </w:pPr>
      <w:r>
        <w:rPr>
          <w:sz w:val="22"/>
          <w:szCs w:val="22"/>
        </w:rPr>
        <w:t xml:space="preserve">La alta tasa de falsos positivos empírica en TFold-Blue (FDR = 25.3% respecto al FDR nominal del 5%) refleja una limitación estructural del modo de adquisición DDA en experimentos cuantitativos. En DDA, la selección estocástica de precursores introduce alta variabilidad run-to-run, especialmente para péptidos de baja abundancia. Las 138 proteínas Human clasificadas como Blue Dots presentan una distribución de log2FC con mediana −0.252 y cola extendida (14 proteínas con |log2FC| &gt; 1.0), indicando que parte de esta señal puede reflejar variabilidad técnica real (missing values diferencial, variaciones de ionización) y no solo falsos positivos estadísticos. Este problema es inherente al diseño DDA y se atenúa significativamente en flujos de trabajo basados en data-independent acquisition (DIA), donde la fragmentación sistemática de todos los precursores en ventanas de m/z definidas garantiza cuantificaciones más reproducibles y completas, reduciendo el impacto de la selección estocástica sobre la comparación entre condiciones.</w:t>
      </w:r>
    </w:p>
    <w:p>
      <w:pPr>
        <w:spacing w:after="160" w:line="276"/>
        <w:jc w:val="both"/>
      </w:pPr>
      <w:r>
        <w:rPr>
          <w:sz w:val="22"/>
          <w:szCs w:val="22"/>
        </w:rPr>
        <w:t xml:space="preserve">En síntesis, el experimento three-species benchmark confirma que el flujo de trabajo DDA evaluado discrimina correctamente las direcciones de cambio de abundancia con sensibilidad elevada, pero sobreestima el fold change de E. coli en aproximadamente 30% respecto al teórico, siendo el origen más probable un error de concentración en la preparación del stock. La capacidad discriminativa es alta para proteínas con fold change elevado (E. coli, FC = 2x) y menor para fold changes más moderados (Yeast, FC = 0.5x), en línea con la menor potencia estadística esperada. Estos resultados deben ser considerados al interpretar los fold changes absolutos en el análisis diferencial de las muestras biológicas del presente trabajo.</w:t>
      </w:r>
    </w:p>
    <w:p>
      <w:pPr>
        <w:spacing w:after="80"/>
      </w:pPr>
      <w:r>
        <w:t xml:space="preserve"/>
      </w:r>
    </w:p>
    <w:p>
      <w:pPr>
        <w:pStyle w:val="Heading1"/>
        <w:spacing w:after="200" w:before="360"/>
      </w:pPr>
      <w:r>
        <w:rPr>
          <w:b/>
          <w:bCs/>
          <w:color w:val="2E5F8A"/>
          <w:sz w:val="28"/>
          <w:szCs w:val="28"/>
        </w:rPr>
        <w:t xml:space="preserve">Apéndice: Parámetros del análisis TFold</w:t>
      </w:r>
    </w:p>
    <w:p>
      <w:pPr>
        <w:spacing w:after="100"/>
      </w:pPr>
      <w:r>
        <w:rPr>
          <w:b/>
          <w:bCs/>
          <w:sz w:val="20"/>
          <w:szCs w:val="20"/>
        </w:rPr>
        <w:t xml:space="preserve">Parámetros TFold utilizados (PatternLab for Proteomics, 17-04-2026):</w:t>
      </w:r>
    </w:p>
    <w:p>
      <w:pPr>
        <w:spacing w:after="120"/>
      </w:pPr>
      <w:r>
        <w:rPr>
          <w:rFonts w:ascii="Courier New" w:cs="Courier New" w:eastAsia="Courier New" w:hAnsi="Courier New"/>
          <w:sz w:val="20"/>
          <w:szCs w:val="20"/>
        </w:rPr>
        <w:t xml:space="preserve">F-stringency (z) = 0.01 | q-value = 0.05 (BH FDR) | L-stringency = 0 | Normalización = Total Signal | Min. réplicas = 6 | Top: Triple-STD-Condicion-A | Bottom: Triple-STD-Condicion-B</w:t>
      </w:r>
    </w:p>
    <w:p>
      <w:pPr>
        <w:spacing w:after="80"/>
      </w:pPr>
      <w:r>
        <w:rPr>
          <w:i/>
          <w:iCs/>
          <w:color w:val="555555"/>
          <w:sz w:val="18"/>
          <w:szCs w:val="18"/>
        </w:rPr>
        <w:t xml:space="preserve">Referencia: Carvalho PC, Yates JR 3rd, Barbosa VC. Improving the TFold test for differential shotgun proteomics. Bioinformatics. 2012;28(12):1652-1654.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8A" w:sz="4" w:space="1"/>
      </w:pBdr>
      <w:jc w:val="right"/>
    </w:pPr>
    <w:r>
      <w:rPr>
        <w:color w:val="888888"/>
        <w:sz w:val="18"/>
        <w:szCs w:val="18"/>
      </w:rPr>
      <w:t xml:space="preserve">Naza Cabrerati — Tesis de Biotecnología          Pág.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8A" w:sz="4" w:space="1"/>
      </w:pBdr>
    </w:pPr>
    <w:r>
      <w:rPr>
        <w:color w:val="888888"/>
        <w:sz w:val="18"/>
        <w:szCs w:val="18"/>
      </w:rPr>
      <w:t xml:space="preserve">Análisis Three-Species Benchmark — Proteómica cuantitativa LC-MS/MS DDA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2E5F8A"/>
      <w:sz w:val="28"/>
      <w:szCs w:val="28"/>
    </w:rPr>
  </w:style>
  <w:style w:type="paragraph" w:styleId="Heading2">
    <w:name w:val="Heading 2"/>
    <w:basedOn w:val="Normal"/>
    <w:next w:val="Normal"/>
    <w:qFormat/>
    <w:pPr>
      <w:spacing w:after="140" w:before="280"/>
      <w:outlineLvl w:val="1"/>
    </w:pPr>
    <w:rPr>
      <w:rFonts w:ascii="Calibri" w:cs="Calibri" w:eastAsia="Calibri" w:hAnsi="Calibri"/>
      <w:b/>
      <w:bCs/>
      <w:color w:val="1F4E79"/>
      <w:sz w:val="24"/>
      <w:szCs w:val="24"/>
    </w:rPr>
  </w:style>
  <w:style w:type="paragraph" w:styleId="Heading3">
    <w:name w:val="Heading 3"/>
    <w:basedOn w:val="Normal"/>
    <w:next w:val="Normal"/>
    <w:qFormat/>
    <w:pPr>
      <w:spacing w:after="100" w:before="200"/>
      <w:outlineLvl w:val="2"/>
    </w:pPr>
    <w:rPr>
      <w:rFonts w:ascii="Calibri" w:cs="Calibri" w:eastAsia="Calibri" w:hAnsi="Calibri"/>
      <w:b/>
      <w:bCs/>
      <w:color w:val="2E5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2026-05-05T20:35:59.946Z</dcterms:created>
  <dcterms:modified xsi:type="dcterms:W3CDTF">2026-05-05T20:35:59.947Z</dcterms:modified>
</cp:coreProperties>
</file>

<file path=docProps/custom.xml><?xml version="1.0" encoding="utf-8"?>
<Properties xmlns="http://schemas.openxmlformats.org/officeDocument/2006/custom-properties" xmlns:vt="http://schemas.openxmlformats.org/officeDocument/2006/docPropsVTypes"/>
</file>