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124F8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1D4302C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14:paraId="0448E3C7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комп’ютерної та програмної інженерії</w:t>
      </w:r>
    </w:p>
    <w:p w14:paraId="7B56E9F5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5A63B3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36AFA212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C07BCE7" wp14:editId="1FE6B1A0">
            <wp:extent cx="1844040" cy="1455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9506D" w14:textId="51ADD842" w:rsidR="00933102" w:rsidRPr="004645FA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474152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33BF2ECE" w14:textId="77777777" w:rsidR="00933102" w:rsidRDefault="00933102" w:rsidP="00F470E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F470E1">
        <w:rPr>
          <w:rFonts w:ascii="Times New Roman" w:hAnsi="Times New Roman" w:cs="Times New Roman"/>
          <w:sz w:val="28"/>
          <w:szCs w:val="28"/>
          <w:lang w:val="uk-UA"/>
        </w:rPr>
        <w:t>Основи охорони праці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BA885A9" w14:textId="6B1C8414" w:rsidR="00474152" w:rsidRPr="00474152" w:rsidRDefault="00474152" w:rsidP="00474152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74152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4741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4152">
        <w:rPr>
          <w:rFonts w:ascii="Times New Roman" w:hAnsi="Times New Roman" w:cs="Times New Roman"/>
          <w:sz w:val="28"/>
          <w:szCs w:val="28"/>
        </w:rPr>
        <w:t>тему</w:t>
      </w:r>
      <w:proofErr w:type="spellEnd"/>
      <w:r w:rsidRPr="00474152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474152">
        <w:rPr>
          <w:rFonts w:ascii="Times New Roman" w:hAnsi="Times New Roman" w:cs="Times New Roman"/>
          <w:bCs/>
          <w:sz w:val="28"/>
          <w:szCs w:val="28"/>
        </w:rPr>
        <w:t>Іонізуюче</w:t>
      </w:r>
      <w:proofErr w:type="spellEnd"/>
      <w:r w:rsidRPr="004741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74152">
        <w:rPr>
          <w:rFonts w:ascii="Times New Roman" w:hAnsi="Times New Roman" w:cs="Times New Roman"/>
          <w:bCs/>
          <w:sz w:val="28"/>
          <w:szCs w:val="28"/>
        </w:rPr>
        <w:t>випромінювання</w:t>
      </w:r>
      <w:proofErr w:type="spellEnd"/>
      <w:r w:rsidRPr="00474152">
        <w:rPr>
          <w:rFonts w:ascii="Times New Roman" w:hAnsi="Times New Roman" w:cs="Times New Roman"/>
          <w:sz w:val="28"/>
          <w:szCs w:val="28"/>
        </w:rPr>
        <w:t>»</w:t>
      </w:r>
    </w:p>
    <w:p w14:paraId="275AC134" w14:textId="77777777" w:rsidR="00E40854" w:rsidRDefault="00E40854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826538" w14:textId="77777777" w:rsidR="00B65309" w:rsidRDefault="00B65309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71EA89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14:paraId="163F77C4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ПІ-</w:t>
      </w:r>
      <w:r w:rsidR="00493531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21Б</w:t>
      </w:r>
    </w:p>
    <w:p w14:paraId="1BE2668F" w14:textId="77777777" w:rsidR="00933102" w:rsidRDefault="005F09DF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Іванюк Н. О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8532F2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викладач:</w:t>
      </w:r>
    </w:p>
    <w:p w14:paraId="2C005431" w14:textId="77777777" w:rsidR="00933102" w:rsidRPr="00933102" w:rsidRDefault="00851593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Якимець</w:t>
      </w:r>
      <w:r w:rsidR="005F0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5F09D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В.</w:t>
      </w:r>
    </w:p>
    <w:p w14:paraId="23AAB352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AE0A42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CC6C08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593184" w14:textId="5FB2A7E1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DF4139" w14:textId="77777777" w:rsidR="00E40854" w:rsidRDefault="00E40854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CD8127" w14:textId="77777777" w:rsidR="00933102" w:rsidRDefault="00933102" w:rsidP="0093310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E073BC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C25E34" w14:textId="25E8987F" w:rsidR="00E40854" w:rsidRPr="003975B1" w:rsidRDefault="005F09DF" w:rsidP="00E4085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975B1"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D736CC" w:rsidRPr="003975B1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23951FA8" w14:textId="79903117" w:rsidR="003975B1" w:rsidRPr="003975B1" w:rsidRDefault="003975B1" w:rsidP="003975B1">
      <w:pPr>
        <w:pStyle w:val="ListParagraph"/>
        <w:numPr>
          <w:ilvl w:val="0"/>
          <w:numId w:val="32"/>
        </w:numPr>
        <w:spacing w:before="240" w:after="0" w:line="276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3975B1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lastRenderedPageBreak/>
        <w:t>Альфа-випромінювання. Природа випромінювання та захист від нього.</w:t>
      </w:r>
    </w:p>
    <w:p w14:paraId="2AEC42AE" w14:textId="2D0FD05C" w:rsidR="003975B1" w:rsidRPr="003975B1" w:rsidRDefault="00474152" w:rsidP="003975B1">
      <w:pPr>
        <w:spacing w:before="240" w:after="0"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>Корпускулярне іонізуюче випромінювання, яке складається з альфа-частинок (</w:t>
      </w:r>
      <w:proofErr w:type="spellStart"/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>ядер</w:t>
      </w:r>
      <w:proofErr w:type="spellEnd"/>
      <w:r w:rsid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>гелію), що випромінюються при радіоактивному розпаді чи при ядерних реакціях, перетвореннях.</w:t>
      </w:r>
    </w:p>
    <w:p w14:paraId="44C6CE19" w14:textId="52B92C84" w:rsidR="003975B1" w:rsidRPr="003975B1" w:rsidRDefault="00474152" w:rsidP="003975B1">
      <w:pPr>
        <w:spacing w:before="240" w:after="0"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метою захисту від бета-випромінювання використовуються матеріали з малою атомною масою. Для цього використовують комбіновані екрани, у котрих з боку джерела розташовується матеріал з малою атомною масою товщиною, що дорівнює довжині пробігу бета-частинок, а за ним — з великою масою. </w:t>
      </w:r>
    </w:p>
    <w:p w14:paraId="19DD7A76" w14:textId="187BFDA4" w:rsidR="003975B1" w:rsidRPr="003975B1" w:rsidRDefault="003975B1" w:rsidP="003975B1">
      <w:pPr>
        <w:pStyle w:val="ListParagraph"/>
        <w:numPr>
          <w:ilvl w:val="0"/>
          <w:numId w:val="32"/>
        </w:numPr>
        <w:spacing w:before="240" w:after="0" w:line="276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3975B1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Бета-випромінювання. Природа випромінювання та захист від нього.</w:t>
      </w:r>
    </w:p>
    <w:p w14:paraId="60AFD17D" w14:textId="24EDAEA7" w:rsidR="003975B1" w:rsidRPr="003975B1" w:rsidRDefault="00474152" w:rsidP="003975B1">
      <w:pPr>
        <w:spacing w:before="240" w:after="0"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>β-випромінювання – один із видів радіоактивного випромінювання, якому характерна значно більша проникаюча здатність у порівнянні з α-випромінюванням.</w:t>
      </w:r>
    </w:p>
    <w:p w14:paraId="54049355" w14:textId="4D520952" w:rsidR="003975B1" w:rsidRPr="003975B1" w:rsidRDefault="00474152" w:rsidP="003975B1">
      <w:pPr>
        <w:spacing w:before="240" w:after="0"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>Основний захист від β-випромінювання полягає у зниженні його інтенсивності, шляхом віддалення від джерела небезпеки на якомога більшу відстань та зменшення тривалості самого контакту з джерелом.</w:t>
      </w:r>
    </w:p>
    <w:p w14:paraId="4E95056F" w14:textId="50A81E19" w:rsidR="003975B1" w:rsidRPr="003975B1" w:rsidRDefault="003975B1" w:rsidP="003975B1">
      <w:pPr>
        <w:pStyle w:val="ListParagraph"/>
        <w:numPr>
          <w:ilvl w:val="0"/>
          <w:numId w:val="32"/>
        </w:numPr>
        <w:spacing w:before="240" w:after="0" w:line="276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3975B1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Гамма-випромінювання. Природа випромінювання та захист від нього.</w:t>
      </w:r>
    </w:p>
    <w:p w14:paraId="45FE6032" w14:textId="5F3C61A8" w:rsidR="003975B1" w:rsidRPr="003975B1" w:rsidRDefault="00474152" w:rsidP="003975B1">
      <w:pPr>
        <w:spacing w:before="240" w:after="0"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Гамма-випромінювання— електромагнітне випромінювання найвищої енергії з довжиною хвилі меншою за 1 ангстрем. Утворюється в реакціях за участю атомних </w:t>
      </w:r>
      <w:proofErr w:type="spellStart"/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>ядер</w:t>
      </w:r>
      <w:proofErr w:type="spellEnd"/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елементарних частинок у процесах розпаду, синтезу, анігіляції, під час гальмування заряджених частинок великої енергії.</w:t>
      </w:r>
    </w:p>
    <w:p w14:paraId="4ABD3515" w14:textId="2A7B6630" w:rsidR="003975B1" w:rsidRPr="003975B1" w:rsidRDefault="00474152" w:rsidP="003975B1">
      <w:pPr>
        <w:spacing w:before="240" w:after="0"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>З метою захисту від рентгенівського та гамма-випромінювання застосовуються матеріали з великою атомною масою та з високою щільністю (свинець, вольфрам).</w:t>
      </w:r>
    </w:p>
    <w:p w14:paraId="57AA3514" w14:textId="4B4F7FB2" w:rsidR="003975B1" w:rsidRPr="003975B1" w:rsidRDefault="003975B1" w:rsidP="003975B1">
      <w:pPr>
        <w:pStyle w:val="ListParagraph"/>
        <w:numPr>
          <w:ilvl w:val="0"/>
          <w:numId w:val="32"/>
        </w:numPr>
        <w:spacing w:before="240" w:after="0" w:line="276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3975B1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Нейтронне випромінювання. Захист від нього.</w:t>
      </w:r>
    </w:p>
    <w:p w14:paraId="37C320ED" w14:textId="5B0C1873" w:rsidR="003975B1" w:rsidRPr="003975B1" w:rsidRDefault="00474152" w:rsidP="003975B1">
      <w:pPr>
        <w:spacing w:before="240" w:after="0"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Нейтронне випромінювання — вид корпускулярного випромінювання, що представляє собою потік вільних нейтронів. Вільні нейтрони виникають під час ядерних реакцій, наприклад, під час поділу </w:t>
      </w:r>
      <w:proofErr w:type="spellStart"/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>ядер</w:t>
      </w:r>
      <w:proofErr w:type="spellEnd"/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урану чи плутонію. Таке випромінювання виникає, зокрема, під час роботи прискорювачів заряджених частинок і реакторів, які утворюють потужні потоки теплових та швидких нейтронів.</w:t>
      </w:r>
    </w:p>
    <w:p w14:paraId="53D2E3B6" w14:textId="7A12EBE2" w:rsidR="003975B1" w:rsidRPr="003975B1" w:rsidRDefault="00474152" w:rsidP="003975B1">
      <w:pPr>
        <w:spacing w:before="240" w:after="0"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>Для захисту від нейтронного випромінювання використовують матеріали, котрі містять водень (вода, парафін), а також бор, берилій, кадмій, графіт.</w:t>
      </w:r>
    </w:p>
    <w:p w14:paraId="5C769F1F" w14:textId="66EE7410" w:rsidR="003975B1" w:rsidRPr="003975B1" w:rsidRDefault="003975B1" w:rsidP="003975B1">
      <w:pPr>
        <w:pStyle w:val="ListParagraph"/>
        <w:numPr>
          <w:ilvl w:val="0"/>
          <w:numId w:val="32"/>
        </w:numPr>
        <w:spacing w:before="240" w:after="0" w:line="276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3975B1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Рентгенівське випромінювання. Захист від нього.</w:t>
      </w:r>
    </w:p>
    <w:p w14:paraId="4DC35894" w14:textId="42F043D3" w:rsidR="003975B1" w:rsidRPr="003975B1" w:rsidRDefault="00474152" w:rsidP="003975B1">
      <w:pPr>
        <w:spacing w:before="240" w:after="0"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ab/>
      </w:r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>Рентгенівське випромінювання - це електромагнітні хвилі з довжиною меншою, ніж у ультрафіолетового випромінювання (80нм - 10-4нм), які виникають або при гальмуванні швидких електронів в речовині чи полі, або випромінюються атомами з високим порядковим номером при переходах електронів на внутрішніх орбітах.</w:t>
      </w:r>
    </w:p>
    <w:p w14:paraId="5A2A0A51" w14:textId="1666BFE9" w:rsidR="003975B1" w:rsidRPr="003975B1" w:rsidRDefault="00474152" w:rsidP="003975B1">
      <w:pPr>
        <w:spacing w:before="240" w:after="0"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>Як захисні засоби від дії м'яких рентгенівських променів застосовуються екрани із сталевого листа (1 мм), освинцьованого алюмінію (3 мм), покритого оловом скла (8 мм) чи спеціальної гуми</w:t>
      </w:r>
    </w:p>
    <w:p w14:paraId="19DABC7D" w14:textId="57F2AC57" w:rsidR="003975B1" w:rsidRPr="003975B1" w:rsidRDefault="003975B1" w:rsidP="003975B1">
      <w:pPr>
        <w:pStyle w:val="ListParagraph"/>
        <w:numPr>
          <w:ilvl w:val="0"/>
          <w:numId w:val="32"/>
        </w:numPr>
        <w:spacing w:before="240" w:after="0" w:line="276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3975B1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Джерела іонізуючого випромінювання в Україні.</w:t>
      </w:r>
    </w:p>
    <w:p w14:paraId="777DD2EF" w14:textId="7EDD0157" w:rsidR="003975B1" w:rsidRPr="003975B1" w:rsidRDefault="00474152" w:rsidP="003975B1">
      <w:pPr>
        <w:spacing w:before="240" w:after="0"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>Джерела іонізуючого випромінювання, як правило, знаходяться в металевих контейнерах з товстими стінками, що ускладнює можливість ідентифікувати відповідним обладнанням наявність всередині радіоактивного джерела. Крім того, вони представляють собою предмети різної форми та величини, в результаті часто опиняються об’єктами інтересу різних груп населення з різними цілями.</w:t>
      </w:r>
    </w:p>
    <w:p w14:paraId="31121EA0" w14:textId="7F89738B" w:rsidR="003975B1" w:rsidRPr="003975B1" w:rsidRDefault="00474152" w:rsidP="003975B1">
      <w:pPr>
        <w:spacing w:before="240" w:after="0"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>За інформацією Державного регістру джерел іонізуючого випромінювання та індивідуальних доз опромінення, станом на 30 червня 2021 року в Україні використовується 25 842 одиниць джерел іонізуючого випромінювання (8775 од. радіонуклідних ДІВ та 17067 од. нерадіонуклідних ДІВ).</w:t>
      </w:r>
    </w:p>
    <w:p w14:paraId="1F2DA716" w14:textId="1A9ABE87" w:rsidR="003975B1" w:rsidRPr="003975B1" w:rsidRDefault="003975B1" w:rsidP="003975B1">
      <w:pPr>
        <w:pStyle w:val="ListParagraph"/>
        <w:numPr>
          <w:ilvl w:val="0"/>
          <w:numId w:val="32"/>
        </w:numPr>
        <w:spacing w:before="240" w:after="0" w:line="276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3975B1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Радіопротектори, навести приклади.</w:t>
      </w:r>
    </w:p>
    <w:p w14:paraId="356FAAFE" w14:textId="57228EF6" w:rsidR="003975B1" w:rsidRPr="003975B1" w:rsidRDefault="00474152" w:rsidP="003975B1">
      <w:pPr>
        <w:spacing w:before="240" w:after="0"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>Радіопротектори — ЛП, які застосовують у випадках загрози променевого ураження, під час променевої терапії онкологічних хворих, а також роботи з радіонуклідами через їх здатність запобігати деструктивній дії іонізуючого випромінювання або зменшувати її.</w:t>
      </w:r>
    </w:p>
    <w:p w14:paraId="17FFAE5D" w14:textId="63D349C2" w:rsidR="003975B1" w:rsidRPr="003975B1" w:rsidRDefault="00474152" w:rsidP="003975B1">
      <w:pPr>
        <w:spacing w:before="240" w:after="0"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 них належать: зміїна, бджолина отрути, бактеріальні ендотоксини; </w:t>
      </w:r>
      <w:proofErr w:type="spellStart"/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>естрогени</w:t>
      </w:r>
      <w:proofErr w:type="spellEnd"/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(естрадіол); полісахариди та біополімери (</w:t>
      </w:r>
      <w:proofErr w:type="spellStart"/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>зимозан</w:t>
      </w:r>
      <w:proofErr w:type="spellEnd"/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>продигіозан</w:t>
      </w:r>
      <w:proofErr w:type="spellEnd"/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), адаптогени (екстракти женьшеню, </w:t>
      </w:r>
      <w:proofErr w:type="spellStart"/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>елеутерококу</w:t>
      </w:r>
      <w:proofErr w:type="spellEnd"/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>, китайського лимонника, аралії); спирти (</w:t>
      </w:r>
      <w:proofErr w:type="spellStart"/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>батілол</w:t>
      </w:r>
      <w:proofErr w:type="spellEnd"/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етанол, метанол); </w:t>
      </w:r>
      <w:proofErr w:type="spellStart"/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>металокомплекси</w:t>
      </w:r>
      <w:proofErr w:type="spellEnd"/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порфіринів.</w:t>
      </w:r>
    </w:p>
    <w:p w14:paraId="46D0E254" w14:textId="7D3BEEB3" w:rsidR="003975B1" w:rsidRPr="003975B1" w:rsidRDefault="003975B1" w:rsidP="003975B1">
      <w:pPr>
        <w:pStyle w:val="ListParagraph"/>
        <w:numPr>
          <w:ilvl w:val="0"/>
          <w:numId w:val="32"/>
        </w:numPr>
        <w:spacing w:before="240" w:after="0" w:line="276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3975B1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Продукти, що виводять незначну дозу радіації із організму Людини.</w:t>
      </w:r>
    </w:p>
    <w:p w14:paraId="5687815D" w14:textId="3BC181E0" w:rsidR="003975B1" w:rsidRPr="003975B1" w:rsidRDefault="00474152" w:rsidP="003975B1">
      <w:pPr>
        <w:spacing w:before="240" w:after="0"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 продуктів, що виводять йод-131 належать: свіжа та морожена морська капуста, банани, хурма, фейхоа, лимони, </w:t>
      </w:r>
      <w:proofErr w:type="spellStart"/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>лайми</w:t>
      </w:r>
      <w:proofErr w:type="spellEnd"/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>, яблука, креветки, йодована сіль. Антиоксиданти нейтралізують активність радіонуклідів, тобто перешкоджають потрапляння їх до систем організму і захищають клітини організму від внутрішніх мутацій.</w:t>
      </w:r>
    </w:p>
    <w:p w14:paraId="277AA640" w14:textId="2F4D3B00" w:rsidR="003975B1" w:rsidRPr="003975B1" w:rsidRDefault="003975B1" w:rsidP="003975B1">
      <w:pPr>
        <w:pStyle w:val="ListParagraph"/>
        <w:numPr>
          <w:ilvl w:val="0"/>
          <w:numId w:val="32"/>
        </w:numPr>
        <w:spacing w:before="240" w:after="0" w:line="276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3975B1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lastRenderedPageBreak/>
        <w:t>Активність радіонукліда, одиниці вимірювання.</w:t>
      </w:r>
    </w:p>
    <w:p w14:paraId="2748BA72" w14:textId="09A04585" w:rsidR="003975B1" w:rsidRPr="003975B1" w:rsidRDefault="00474152" w:rsidP="003975B1">
      <w:pPr>
        <w:spacing w:before="240" w:after="0"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>Активність радіоактивного джерела — очікувана кількість елементарних радіоактивних розпадів за одиницю часу.</w:t>
      </w:r>
    </w:p>
    <w:p w14:paraId="2C256F0C" w14:textId="6497BC4E" w:rsidR="003975B1" w:rsidRPr="003975B1" w:rsidRDefault="00474152" w:rsidP="003975B1">
      <w:pPr>
        <w:spacing w:before="240" w:after="0"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>В Міжнародній системі одиниць (SI) одиницею активності є бекерель (</w:t>
      </w:r>
      <w:proofErr w:type="spellStart"/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>Бк</w:t>
      </w:r>
      <w:proofErr w:type="spellEnd"/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>Bq</w:t>
      </w:r>
      <w:proofErr w:type="spellEnd"/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); 1 </w:t>
      </w:r>
      <w:proofErr w:type="spellStart"/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>Бк</w:t>
      </w:r>
      <w:proofErr w:type="spellEnd"/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с−1.</w:t>
      </w:r>
    </w:p>
    <w:p w14:paraId="3321EBB6" w14:textId="6301EC5A" w:rsidR="003975B1" w:rsidRPr="003975B1" w:rsidRDefault="003975B1" w:rsidP="003975B1">
      <w:pPr>
        <w:pStyle w:val="ListParagraph"/>
        <w:numPr>
          <w:ilvl w:val="0"/>
          <w:numId w:val="32"/>
        </w:numPr>
        <w:spacing w:before="240" w:after="0" w:line="276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3975B1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Період напіврозпаду радіонукліда.</w:t>
      </w:r>
    </w:p>
    <w:p w14:paraId="375C827B" w14:textId="2C1FF6FF" w:rsidR="003975B1" w:rsidRPr="003975B1" w:rsidRDefault="00474152" w:rsidP="003975B1">
      <w:pPr>
        <w:spacing w:before="240" w:after="0"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Період напіврозпаду (T1/2) — час, протягом якого </w:t>
      </w:r>
      <w:proofErr w:type="spellStart"/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>квантовомеханічна</w:t>
      </w:r>
      <w:proofErr w:type="spellEnd"/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система (ядро атома, елементарна частинка, енергетичний рівень тощо) розпадається з імовірністю 1/2.</w:t>
      </w:r>
    </w:p>
    <w:p w14:paraId="73066898" w14:textId="00259257" w:rsidR="003975B1" w:rsidRPr="003975B1" w:rsidRDefault="003975B1" w:rsidP="003975B1">
      <w:pPr>
        <w:pStyle w:val="ListParagraph"/>
        <w:numPr>
          <w:ilvl w:val="0"/>
          <w:numId w:val="32"/>
        </w:numPr>
        <w:spacing w:before="240" w:after="0" w:line="276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3975B1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Дози іонізуючого випромінювання, одиниці вимірювання (експозиційна </w:t>
      </w:r>
      <w:proofErr w:type="spellStart"/>
      <w:r w:rsidRPr="003975B1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доза,поглинена</w:t>
      </w:r>
      <w:proofErr w:type="spellEnd"/>
      <w:r w:rsidRPr="003975B1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 та еквівалентна).</w:t>
      </w:r>
    </w:p>
    <w:p w14:paraId="57E78D19" w14:textId="61535560" w:rsidR="003975B1" w:rsidRPr="003975B1" w:rsidRDefault="00474152" w:rsidP="003975B1">
      <w:pPr>
        <w:spacing w:before="240" w:after="0"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Доза випромінювання — це кількість енергії радіоактивних </w:t>
      </w:r>
      <w:proofErr w:type="spellStart"/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>випромінювань</w:t>
      </w:r>
      <w:proofErr w:type="spellEnd"/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>, поглинутих одиницею об'єму середовища, яке опромінюється за весь час опромінення.</w:t>
      </w:r>
    </w:p>
    <w:p w14:paraId="691CD7EA" w14:textId="54FF1B51" w:rsidR="003975B1" w:rsidRPr="003975B1" w:rsidRDefault="00474152" w:rsidP="003975B1">
      <w:pPr>
        <w:spacing w:before="240" w:after="0"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>Експозиційна доза - це доза випромінювання, яка характеризує іонізаційний ефект рентгенівського і гамма-випромінювання в повітрі. Її вимірюють несистемною одиницею — рентген (Р).</w:t>
      </w:r>
    </w:p>
    <w:p w14:paraId="12941210" w14:textId="59C7CB4A" w:rsidR="003975B1" w:rsidRPr="003975B1" w:rsidRDefault="00474152" w:rsidP="003975B1">
      <w:pPr>
        <w:spacing w:before="240" w:after="0"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>Поглинута доза радіації - це величина, яка характеризує енергію іонізуючого випромінювання, поглинуту одиницю маси речовини, яка опромінюється.</w:t>
      </w:r>
    </w:p>
    <w:p w14:paraId="5585B26C" w14:textId="60CEC00E" w:rsidR="003975B1" w:rsidRPr="003975B1" w:rsidRDefault="00474152" w:rsidP="003975B1">
      <w:pPr>
        <w:spacing w:before="240" w:after="0"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>Еквівалентна доза опромінення. Різні види іонізуючого випромінювання при опромінюванні організму однаковими дозами приводять до різного біологічного ефекту, що пов'язано з неоднаковою питомою щільністю іонізації, викликаною ними.</w:t>
      </w:r>
    </w:p>
    <w:p w14:paraId="051AC56F" w14:textId="1E981EE5" w:rsidR="003975B1" w:rsidRPr="003975B1" w:rsidRDefault="003975B1" w:rsidP="003975B1">
      <w:pPr>
        <w:pStyle w:val="ListParagraph"/>
        <w:numPr>
          <w:ilvl w:val="0"/>
          <w:numId w:val="32"/>
        </w:numPr>
        <w:spacing w:before="240" w:after="0" w:line="276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3975B1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Прилади для вимірювання радіації.</w:t>
      </w:r>
    </w:p>
    <w:p w14:paraId="6F14F1E3" w14:textId="76AAC1AF" w:rsidR="003975B1" w:rsidRPr="003975B1" w:rsidRDefault="00474152" w:rsidP="003975B1">
      <w:pPr>
        <w:spacing w:before="240" w:after="0"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bookmarkStart w:id="0" w:name="_GoBack"/>
      <w:bookmarkEnd w:id="0"/>
      <w:r w:rsidR="003975B1"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>Для вимірювання дози іонізуючого випромінювання та її потужності використовують дозиметри. Основною складовою будь-якого дозиметра є детектор — пристрій, що слугує для реєстрації іонізуючого випромінювання. Залежно від типу детектора розрізняють іонізаційний, люмінесцентний та інші види дозиметрів.</w:t>
      </w:r>
    </w:p>
    <w:p w14:paraId="11908502" w14:textId="3D30DDEC" w:rsidR="003975B1" w:rsidRPr="003975B1" w:rsidRDefault="003975B1" w:rsidP="003975B1">
      <w:pPr>
        <w:pStyle w:val="ListParagraph"/>
        <w:numPr>
          <w:ilvl w:val="0"/>
          <w:numId w:val="32"/>
        </w:numPr>
        <w:spacing w:before="240" w:after="0" w:line="276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3975B1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Дія на Людину іонізуючого випромінювання.</w:t>
      </w:r>
    </w:p>
    <w:p w14:paraId="704B54CC" w14:textId="77777777" w:rsidR="003975B1" w:rsidRPr="003975B1" w:rsidRDefault="003975B1" w:rsidP="003975B1">
      <w:pPr>
        <w:spacing w:before="240" w:after="0"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     Під дією іонізуючих </w:t>
      </w:r>
      <w:proofErr w:type="spellStart"/>
      <w:r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>випромінювань</w:t>
      </w:r>
      <w:proofErr w:type="spellEnd"/>
      <w:r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організмі людини відбувається іонізація молекул і атомів тканини, порушується хімічна структура </w:t>
      </w:r>
      <w:proofErr w:type="spellStart"/>
      <w:r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>сполук</w:t>
      </w:r>
      <w:proofErr w:type="spellEnd"/>
      <w:r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>, утворюються сполуки, не властиві живій клітині, що в свою чергу призводить до її відмирання.</w:t>
      </w:r>
    </w:p>
    <w:p w14:paraId="1501035C" w14:textId="70AE1DD8" w:rsidR="003975B1" w:rsidRPr="003975B1" w:rsidRDefault="003975B1" w:rsidP="003975B1">
      <w:pPr>
        <w:pStyle w:val="ListParagraph"/>
        <w:numPr>
          <w:ilvl w:val="0"/>
          <w:numId w:val="32"/>
        </w:numPr>
        <w:spacing w:before="240" w:after="0" w:line="276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3975B1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НРБУ. Які норми існують в Україні.</w:t>
      </w:r>
    </w:p>
    <w:p w14:paraId="62EA8D9A" w14:textId="5E34B63B" w:rsidR="003975B1" w:rsidRPr="003975B1" w:rsidRDefault="003975B1" w:rsidP="003975B1">
      <w:pPr>
        <w:spacing w:before="240" w:after="0"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>НРБУ-97 є основним державним документом, що встановлює систему радіаційно- гігієнічних регламентів для забезпечення прийнятих рівнів опромінення як для окремої людини, так і для суспільства взагалі і є обов'язковими для виконання всіма юридичними та фізичними особами, які проводять практичну діяльність з джерелами іонізуючого випромінювання.</w:t>
      </w:r>
    </w:p>
    <w:p w14:paraId="5B473B17" w14:textId="2F4AA8A6" w:rsidR="003975B1" w:rsidRPr="003975B1" w:rsidRDefault="003975B1" w:rsidP="003975B1">
      <w:pPr>
        <w:spacing w:before="240" w:after="0"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У  даному документі встановлено наступні числові значення референтних ризиків потенційного опромінення,  які не  перевищують рівні  прийнятності  ,  а також враховують гетерогенність розподілу індивідуальних доз у працівників:  </w:t>
      </w:r>
    </w:p>
    <w:p w14:paraId="56B2BBA5" w14:textId="22A32D53" w:rsidR="003975B1" w:rsidRPr="003975B1" w:rsidRDefault="003975B1" w:rsidP="003975B1">
      <w:pPr>
        <w:pStyle w:val="ListParagraph"/>
        <w:numPr>
          <w:ilvl w:val="0"/>
          <w:numId w:val="33"/>
        </w:numPr>
        <w:spacing w:before="240" w:after="0"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персоналу: 2 × 10-4   рік  ;   </w:t>
      </w:r>
    </w:p>
    <w:p w14:paraId="21D57E10" w14:textId="7F86D67C" w:rsidR="003975B1" w:rsidRPr="003975B1" w:rsidRDefault="003975B1" w:rsidP="003975B1">
      <w:pPr>
        <w:pStyle w:val="ListParagraph"/>
        <w:numPr>
          <w:ilvl w:val="0"/>
          <w:numId w:val="33"/>
        </w:numPr>
        <w:spacing w:before="240" w:after="0"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населення: 5 × 10-5   рік  . </w:t>
      </w:r>
    </w:p>
    <w:p w14:paraId="1651EC7A" w14:textId="3D6D906E" w:rsidR="003975B1" w:rsidRPr="003975B1" w:rsidRDefault="003975B1" w:rsidP="003975B1">
      <w:pPr>
        <w:spacing w:before="240" w:after="0"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Pr="003975B1">
        <w:rPr>
          <w:rFonts w:ascii="Times New Roman" w:eastAsiaTheme="minorEastAsia" w:hAnsi="Times New Roman" w:cs="Times New Roman"/>
          <w:sz w:val="28"/>
          <w:szCs w:val="28"/>
          <w:lang w:val="uk-UA"/>
        </w:rPr>
        <w:t>Якщо величини  ризиків  нижчі  за  5  ×  10-7     рік  ,  то відповідні  цим ризикам рівні опромінення не беруться до уваги,  а вказане  граничне  значення  ризику  визначається  як  "ризик,  що ігнорується".</w:t>
      </w:r>
    </w:p>
    <w:p w14:paraId="25F31D0B" w14:textId="77777777" w:rsidR="00E75BEF" w:rsidRPr="00E75BEF" w:rsidRDefault="00E75BEF" w:rsidP="003975B1">
      <w:pPr>
        <w:spacing w:before="240"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sectPr w:rsidR="00E75BEF" w:rsidRPr="00E75BEF" w:rsidSect="007F47F9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7377D"/>
    <w:multiLevelType w:val="hybridMultilevel"/>
    <w:tmpl w:val="DCE82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F6259"/>
    <w:multiLevelType w:val="hybridMultilevel"/>
    <w:tmpl w:val="A4748A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60C9C"/>
    <w:multiLevelType w:val="hybridMultilevel"/>
    <w:tmpl w:val="900218D8"/>
    <w:lvl w:ilvl="0" w:tplc="4F1AE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E2422"/>
    <w:multiLevelType w:val="hybridMultilevel"/>
    <w:tmpl w:val="2C82DB60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96A4D"/>
    <w:multiLevelType w:val="hybridMultilevel"/>
    <w:tmpl w:val="959866AA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64F42"/>
    <w:multiLevelType w:val="hybridMultilevel"/>
    <w:tmpl w:val="D5103FF4"/>
    <w:lvl w:ilvl="0" w:tplc="765AB7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A65A7C"/>
    <w:multiLevelType w:val="hybridMultilevel"/>
    <w:tmpl w:val="31EC905E"/>
    <w:lvl w:ilvl="0" w:tplc="765AB7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450DE5"/>
    <w:multiLevelType w:val="hybridMultilevel"/>
    <w:tmpl w:val="CEDA30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50974"/>
    <w:multiLevelType w:val="hybridMultilevel"/>
    <w:tmpl w:val="1F123C72"/>
    <w:lvl w:ilvl="0" w:tplc="42368DE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E30296"/>
    <w:multiLevelType w:val="hybridMultilevel"/>
    <w:tmpl w:val="CBFE6B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B3A2E"/>
    <w:multiLevelType w:val="hybridMultilevel"/>
    <w:tmpl w:val="D21AE248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93169A"/>
    <w:multiLevelType w:val="hybridMultilevel"/>
    <w:tmpl w:val="61AEC896"/>
    <w:lvl w:ilvl="0" w:tplc="22185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0A4B8D"/>
    <w:multiLevelType w:val="hybridMultilevel"/>
    <w:tmpl w:val="264EFFB2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F5133"/>
    <w:multiLevelType w:val="hybridMultilevel"/>
    <w:tmpl w:val="95288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BE10AC"/>
    <w:multiLevelType w:val="hybridMultilevel"/>
    <w:tmpl w:val="79D67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301C56"/>
    <w:multiLevelType w:val="hybridMultilevel"/>
    <w:tmpl w:val="80C81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7224B"/>
    <w:multiLevelType w:val="hybridMultilevel"/>
    <w:tmpl w:val="343A2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5AB7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D1CF0"/>
    <w:multiLevelType w:val="hybridMultilevel"/>
    <w:tmpl w:val="5BDEEA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8D4BFC"/>
    <w:multiLevelType w:val="hybridMultilevel"/>
    <w:tmpl w:val="89CE4460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B676B2"/>
    <w:multiLevelType w:val="hybridMultilevel"/>
    <w:tmpl w:val="F60009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609C8"/>
    <w:multiLevelType w:val="hybridMultilevel"/>
    <w:tmpl w:val="C05AE3C8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9B741C"/>
    <w:multiLevelType w:val="hybridMultilevel"/>
    <w:tmpl w:val="6B46B63A"/>
    <w:lvl w:ilvl="0" w:tplc="3104C8A2">
      <w:start w:val="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D06E1E"/>
    <w:multiLevelType w:val="hybridMultilevel"/>
    <w:tmpl w:val="767AC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33FA0"/>
    <w:multiLevelType w:val="hybridMultilevel"/>
    <w:tmpl w:val="554221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C740DC"/>
    <w:multiLevelType w:val="hybridMultilevel"/>
    <w:tmpl w:val="0DE68AA8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B367A"/>
    <w:multiLevelType w:val="hybridMultilevel"/>
    <w:tmpl w:val="32CE8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192BE7"/>
    <w:multiLevelType w:val="hybridMultilevel"/>
    <w:tmpl w:val="F3BCF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E926F3"/>
    <w:multiLevelType w:val="hybridMultilevel"/>
    <w:tmpl w:val="A154B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2D7134"/>
    <w:multiLevelType w:val="hybridMultilevel"/>
    <w:tmpl w:val="D4D0E8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B130C9"/>
    <w:multiLevelType w:val="hybridMultilevel"/>
    <w:tmpl w:val="2162F8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744526"/>
    <w:multiLevelType w:val="hybridMultilevel"/>
    <w:tmpl w:val="EA2AD05A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D02F34"/>
    <w:multiLevelType w:val="hybridMultilevel"/>
    <w:tmpl w:val="59047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9278F1"/>
    <w:multiLevelType w:val="hybridMultilevel"/>
    <w:tmpl w:val="DF3CA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7"/>
  </w:num>
  <w:num w:numId="3">
    <w:abstractNumId w:val="26"/>
  </w:num>
  <w:num w:numId="4">
    <w:abstractNumId w:val="11"/>
  </w:num>
  <w:num w:numId="5">
    <w:abstractNumId w:val="3"/>
  </w:num>
  <w:num w:numId="6">
    <w:abstractNumId w:val="8"/>
  </w:num>
  <w:num w:numId="7">
    <w:abstractNumId w:val="20"/>
  </w:num>
  <w:num w:numId="8">
    <w:abstractNumId w:val="30"/>
  </w:num>
  <w:num w:numId="9">
    <w:abstractNumId w:val="16"/>
  </w:num>
  <w:num w:numId="10">
    <w:abstractNumId w:val="31"/>
  </w:num>
  <w:num w:numId="11">
    <w:abstractNumId w:val="21"/>
  </w:num>
  <w:num w:numId="12">
    <w:abstractNumId w:val="14"/>
  </w:num>
  <w:num w:numId="13">
    <w:abstractNumId w:val="6"/>
  </w:num>
  <w:num w:numId="14">
    <w:abstractNumId w:val="12"/>
  </w:num>
  <w:num w:numId="15">
    <w:abstractNumId w:val="5"/>
  </w:num>
  <w:num w:numId="16">
    <w:abstractNumId w:val="4"/>
  </w:num>
  <w:num w:numId="17">
    <w:abstractNumId w:val="13"/>
  </w:num>
  <w:num w:numId="18">
    <w:abstractNumId w:val="18"/>
  </w:num>
  <w:num w:numId="19">
    <w:abstractNumId w:val="24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</w:num>
  <w:num w:numId="27">
    <w:abstractNumId w:val="22"/>
  </w:num>
  <w:num w:numId="28">
    <w:abstractNumId w:val="25"/>
  </w:num>
  <w:num w:numId="29">
    <w:abstractNumId w:val="15"/>
  </w:num>
  <w:num w:numId="30">
    <w:abstractNumId w:val="0"/>
  </w:num>
  <w:num w:numId="31">
    <w:abstractNumId w:val="32"/>
  </w:num>
  <w:num w:numId="32">
    <w:abstractNumId w:val="17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7F9"/>
    <w:rsid w:val="00026DE8"/>
    <w:rsid w:val="00055D14"/>
    <w:rsid w:val="000B6676"/>
    <w:rsid w:val="000F622E"/>
    <w:rsid w:val="00102C9E"/>
    <w:rsid w:val="001076CC"/>
    <w:rsid w:val="00110C75"/>
    <w:rsid w:val="00123BCF"/>
    <w:rsid w:val="00134E1E"/>
    <w:rsid w:val="00141756"/>
    <w:rsid w:val="001514D8"/>
    <w:rsid w:val="00194AF9"/>
    <w:rsid w:val="001C6C20"/>
    <w:rsid w:val="001E2BBC"/>
    <w:rsid w:val="002102BD"/>
    <w:rsid w:val="002B7915"/>
    <w:rsid w:val="002E21D3"/>
    <w:rsid w:val="002F5842"/>
    <w:rsid w:val="0030197E"/>
    <w:rsid w:val="00310214"/>
    <w:rsid w:val="00311717"/>
    <w:rsid w:val="00393E74"/>
    <w:rsid w:val="003975B1"/>
    <w:rsid w:val="003E174B"/>
    <w:rsid w:val="003E1B42"/>
    <w:rsid w:val="003E2C8E"/>
    <w:rsid w:val="003F28EE"/>
    <w:rsid w:val="00443AED"/>
    <w:rsid w:val="004645FA"/>
    <w:rsid w:val="00474152"/>
    <w:rsid w:val="00477FF8"/>
    <w:rsid w:val="00493531"/>
    <w:rsid w:val="004E00F7"/>
    <w:rsid w:val="004E05F2"/>
    <w:rsid w:val="005352EC"/>
    <w:rsid w:val="00540DEA"/>
    <w:rsid w:val="00543492"/>
    <w:rsid w:val="0055193F"/>
    <w:rsid w:val="00596052"/>
    <w:rsid w:val="005C10BD"/>
    <w:rsid w:val="005D1447"/>
    <w:rsid w:val="005D7E74"/>
    <w:rsid w:val="005F09DF"/>
    <w:rsid w:val="00622DAB"/>
    <w:rsid w:val="00643B84"/>
    <w:rsid w:val="00651789"/>
    <w:rsid w:val="0066738E"/>
    <w:rsid w:val="0067184D"/>
    <w:rsid w:val="00674DF1"/>
    <w:rsid w:val="006B04A5"/>
    <w:rsid w:val="006B3FEC"/>
    <w:rsid w:val="00703ABB"/>
    <w:rsid w:val="007132C9"/>
    <w:rsid w:val="00713642"/>
    <w:rsid w:val="00726773"/>
    <w:rsid w:val="007457D7"/>
    <w:rsid w:val="007B0B5E"/>
    <w:rsid w:val="007F47F9"/>
    <w:rsid w:val="008318A0"/>
    <w:rsid w:val="00840461"/>
    <w:rsid w:val="00851593"/>
    <w:rsid w:val="00856E02"/>
    <w:rsid w:val="008739B6"/>
    <w:rsid w:val="00875A47"/>
    <w:rsid w:val="008B71CA"/>
    <w:rsid w:val="008C4853"/>
    <w:rsid w:val="008F43EB"/>
    <w:rsid w:val="00933102"/>
    <w:rsid w:val="00962184"/>
    <w:rsid w:val="00975FCE"/>
    <w:rsid w:val="00992227"/>
    <w:rsid w:val="009D1938"/>
    <w:rsid w:val="009F7FC1"/>
    <w:rsid w:val="00A12500"/>
    <w:rsid w:val="00A37153"/>
    <w:rsid w:val="00A73E7F"/>
    <w:rsid w:val="00B12633"/>
    <w:rsid w:val="00B44676"/>
    <w:rsid w:val="00B54171"/>
    <w:rsid w:val="00B65309"/>
    <w:rsid w:val="00B8159A"/>
    <w:rsid w:val="00BB034A"/>
    <w:rsid w:val="00BD3146"/>
    <w:rsid w:val="00C0447E"/>
    <w:rsid w:val="00C157A0"/>
    <w:rsid w:val="00C3460E"/>
    <w:rsid w:val="00C355CE"/>
    <w:rsid w:val="00C53BBF"/>
    <w:rsid w:val="00C83481"/>
    <w:rsid w:val="00CD0E76"/>
    <w:rsid w:val="00CD3243"/>
    <w:rsid w:val="00CD6397"/>
    <w:rsid w:val="00D171DB"/>
    <w:rsid w:val="00D35AD0"/>
    <w:rsid w:val="00D461BA"/>
    <w:rsid w:val="00D510AE"/>
    <w:rsid w:val="00D736CC"/>
    <w:rsid w:val="00DB42B2"/>
    <w:rsid w:val="00DC123B"/>
    <w:rsid w:val="00DD5286"/>
    <w:rsid w:val="00DD66B7"/>
    <w:rsid w:val="00DE6CF6"/>
    <w:rsid w:val="00E40854"/>
    <w:rsid w:val="00E70746"/>
    <w:rsid w:val="00E75BEF"/>
    <w:rsid w:val="00EA16AD"/>
    <w:rsid w:val="00EB5B34"/>
    <w:rsid w:val="00ED539C"/>
    <w:rsid w:val="00F30B84"/>
    <w:rsid w:val="00F470E1"/>
    <w:rsid w:val="00F51F32"/>
    <w:rsid w:val="00FB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60A7"/>
  <w15:chartTrackingRefBased/>
  <w15:docId w15:val="{C3178737-C484-4070-B4A2-C57E2498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7F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F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0B84"/>
    <w:pPr>
      <w:ind w:left="720"/>
      <w:contextualSpacing/>
    </w:pPr>
  </w:style>
  <w:style w:type="table" w:styleId="TableGrid">
    <w:name w:val="Table Grid"/>
    <w:basedOn w:val="TableNormal"/>
    <w:uiPriority w:val="39"/>
    <w:rsid w:val="00726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6910">
                  <w:marLeft w:val="0"/>
                  <w:marRight w:val="0"/>
                  <w:marTop w:val="0"/>
                  <w:marBottom w:val="0"/>
                  <w:divBdr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divBdr>
                </w:div>
              </w:divsChild>
            </w:div>
          </w:divsChild>
        </w:div>
        <w:div w:id="832917146">
          <w:marLeft w:val="0"/>
          <w:marRight w:val="0"/>
          <w:marTop w:val="300"/>
          <w:marBottom w:val="45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0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008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3544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90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09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80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05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90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087755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261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382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875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3062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5448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758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8752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6018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2388059">
                                                                                      <w:marLeft w:val="0"/>
                                                                                      <w:marRight w:val="13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2546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443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8060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870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8646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4335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7205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3413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6800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8940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4904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6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67ED2-EB31-4ED9-AE8F-001562C20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1093</Words>
  <Characters>6235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Nazar Ivanyuk</cp:lastModifiedBy>
  <cp:revision>13</cp:revision>
  <dcterms:created xsi:type="dcterms:W3CDTF">2022-10-16T02:03:00Z</dcterms:created>
  <dcterms:modified xsi:type="dcterms:W3CDTF">2022-11-20T03:41:00Z</dcterms:modified>
</cp:coreProperties>
</file>