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0D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47EBB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212ACD1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020B67C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99883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F0AE1E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004AB1" wp14:editId="393E284A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493" w14:textId="7DA79FCF" w:rsidR="00933102" w:rsidRPr="00134E1E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139E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F173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428A1D86" w14:textId="29B3E0CB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308B9">
        <w:rPr>
          <w:rFonts w:ascii="Times New Roman" w:hAnsi="Times New Roman" w:cs="Times New Roman"/>
          <w:sz w:val="28"/>
          <w:szCs w:val="28"/>
          <w:lang w:val="uk-UA"/>
        </w:rPr>
        <w:t>Супроводження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9B7A84" w14:textId="452CF119" w:rsidR="005F09DF" w:rsidRPr="005F09DF" w:rsidRDefault="005F09DF" w:rsidP="00617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6170D8" w:rsidRPr="006170D8">
        <w:rPr>
          <w:rFonts w:eastAsia="Times New Roman" w:cs="Times New Roman"/>
          <w:sz w:val="28"/>
          <w:szCs w:val="28"/>
        </w:rPr>
        <w:t>Дослідження</w:t>
      </w:r>
      <w:proofErr w:type="spellEnd"/>
      <w:r w:rsidR="006170D8" w:rsidRPr="006170D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6170D8" w:rsidRPr="006170D8">
        <w:rPr>
          <w:rFonts w:eastAsia="Times New Roman" w:cs="Times New Roman"/>
          <w:sz w:val="28"/>
          <w:szCs w:val="28"/>
        </w:rPr>
        <w:t>категорій</w:t>
      </w:r>
      <w:proofErr w:type="spellEnd"/>
      <w:r w:rsidR="006170D8" w:rsidRPr="006170D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6170D8" w:rsidRPr="006170D8">
        <w:rPr>
          <w:rFonts w:eastAsia="Times New Roman" w:cs="Times New Roman"/>
          <w:sz w:val="28"/>
          <w:szCs w:val="28"/>
        </w:rPr>
        <w:t>супроводження</w:t>
      </w:r>
      <w:proofErr w:type="spellEnd"/>
      <w:r w:rsidR="006170D8" w:rsidRPr="006170D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6170D8" w:rsidRPr="006170D8">
        <w:rPr>
          <w:rFonts w:eastAsia="Times New Roman" w:cs="Times New Roman"/>
          <w:sz w:val="28"/>
          <w:szCs w:val="28"/>
        </w:rPr>
        <w:t>програмного</w:t>
      </w:r>
      <w:proofErr w:type="spellEnd"/>
      <w:r w:rsidR="006170D8" w:rsidRPr="006170D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6170D8" w:rsidRPr="006170D8">
        <w:rPr>
          <w:rFonts w:eastAsia="Times New Roman" w:cs="Times New Roman"/>
          <w:sz w:val="28"/>
          <w:szCs w:val="28"/>
        </w:rPr>
        <w:t>забезпечення</w:t>
      </w:r>
      <w:proofErr w:type="spellEnd"/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B7F5D1" w14:textId="0936DFAA" w:rsidR="00933102" w:rsidRDefault="002F607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565E20ED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2014E" w14:textId="506A7896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A0E79D" w14:textId="77777777" w:rsidR="006170D8" w:rsidRDefault="006170D8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90C0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256FBB78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A77AA48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C752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DB65F30" w14:textId="2E704EFC" w:rsidR="00933102" w:rsidRPr="00933102" w:rsidRDefault="007308B9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Корнієнко С. П.</w:t>
      </w:r>
    </w:p>
    <w:p w14:paraId="786E730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3EBA8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30E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0FA120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54F4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EF3A4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857CDA0" w14:textId="77777777" w:rsidR="006170D8" w:rsidRDefault="006170D8" w:rsidP="006170D8">
      <w:pPr>
        <w:spacing w:line="276" w:lineRule="auto"/>
        <w:ind w:left="153" w:right="461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класифікацій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784BEA" w14:textId="77777777" w:rsidR="006170D8" w:rsidRDefault="006170D8" w:rsidP="006170D8">
      <w:pPr>
        <w:spacing w:line="276" w:lineRule="auto"/>
        <w:ind w:right="461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Завдання</w:t>
      </w:r>
      <w:proofErr w:type="spellEnd"/>
    </w:p>
    <w:p w14:paraId="01053338" w14:textId="77777777" w:rsidR="006170D8" w:rsidRDefault="006170D8" w:rsidP="006170D8">
      <w:pPr>
        <w:pStyle w:val="ListParagraph"/>
        <w:numPr>
          <w:ilvl w:val="0"/>
          <w:numId w:val="20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Вивчіть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теоретичну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класифікацію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стандартом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ISO/IEC 14764.</w:t>
      </w:r>
    </w:p>
    <w:p w14:paraId="3F8A8B57" w14:textId="77777777" w:rsidR="006170D8" w:rsidRDefault="006170D8" w:rsidP="006170D8">
      <w:pPr>
        <w:pStyle w:val="ListParagraph"/>
        <w:numPr>
          <w:ilvl w:val="0"/>
          <w:numId w:val="20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відкритим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тип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знадобитися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урахуванням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кожного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доменного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рівнів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зрілості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SMMM.</w:t>
      </w:r>
    </w:p>
    <w:p w14:paraId="41105196" w14:textId="77777777" w:rsidR="006170D8" w:rsidRDefault="006170D8" w:rsidP="006170D8">
      <w:pPr>
        <w:pStyle w:val="ListParagraph"/>
        <w:spacing w:line="276" w:lineRule="auto"/>
        <w:ind w:left="1068" w:right="461" w:firstLine="34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Опишіть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можливі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кожного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запиту</w:t>
      </w:r>
      <w:proofErr w:type="spellEnd"/>
    </w:p>
    <w:p w14:paraId="2A16C9A6" w14:textId="77777777" w:rsidR="006170D8" w:rsidRDefault="006170D8" w:rsidP="006170D8">
      <w:pPr>
        <w:pStyle w:val="ListParagraph"/>
        <w:spacing w:line="276" w:lineRule="auto"/>
        <w:ind w:left="1068" w:right="461" w:firstLine="34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зрілості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кожного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конкретного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обрано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правила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зрілості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залишок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номеру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списку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групи</w:t>
      </w:r>
      <w:proofErr w:type="spellEnd"/>
    </w:p>
    <w:p w14:paraId="4742BD32" w14:textId="77777777" w:rsidR="006170D8" w:rsidRDefault="006170D8" w:rsidP="006170D8">
      <w:pPr>
        <w:pStyle w:val="ListParagraph"/>
        <w:numPr>
          <w:ilvl w:val="0"/>
          <w:numId w:val="20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Підготуйте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коротким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класифікації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теоретичній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частині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детальним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можливих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приналежність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6610379" w14:textId="77777777" w:rsidR="006170D8" w:rsidRDefault="006170D8" w:rsidP="006170D8">
      <w:pPr>
        <w:pStyle w:val="ListParagraph"/>
        <w:numPr>
          <w:ilvl w:val="0"/>
          <w:numId w:val="20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результатами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досліджень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заповніть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наступну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07"/>
        <w:gridCol w:w="2569"/>
        <w:gridCol w:w="2648"/>
        <w:gridCol w:w="3596"/>
      </w:tblGrid>
      <w:tr w:rsidR="006170D8" w14:paraId="26C33ED8" w14:textId="77777777" w:rsidTr="006170D8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30C5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№ п/п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BA0D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Джерело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запиту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5F4F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запиту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4AB1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Категорія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4B972073" w14:textId="77777777" w:rsidTr="006170D8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B671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DBF4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DD62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5DA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6170D8" w14:paraId="5F0E4B55" w14:textId="77777777" w:rsidTr="006170D8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B6F6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FDBE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3DF6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DB56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6170D8" w14:paraId="14BF3376" w14:textId="77777777" w:rsidTr="006170D8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D498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A774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FDFB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7527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6170D8" w14:paraId="5B9AF709" w14:textId="77777777" w:rsidTr="006170D8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E4A0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15.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8EC9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ABDB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DB2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6303F826" w14:textId="77777777" w:rsidR="006170D8" w:rsidRDefault="006170D8" w:rsidP="006170D8">
      <w:pPr>
        <w:spacing w:line="276" w:lineRule="auto"/>
        <w:ind w:left="708" w:right="461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A53A884" w14:textId="77777777" w:rsidR="006170D8" w:rsidRDefault="006170D8" w:rsidP="006170D8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</w:p>
    <w:p w14:paraId="66749A34" w14:textId="77777777" w:rsidR="006170D8" w:rsidRDefault="006170D8" w:rsidP="006170D8">
      <w:pPr>
        <w:spacing w:after="200" w:line="276" w:lineRule="auto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br w:type="page"/>
      </w:r>
    </w:p>
    <w:p w14:paraId="224CBD52" w14:textId="77777777" w:rsidR="006170D8" w:rsidRDefault="006170D8" w:rsidP="006170D8">
      <w:pPr>
        <w:spacing w:line="276" w:lineRule="auto"/>
        <w:ind w:right="461"/>
        <w:jc w:val="center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8"/>
        </w:rPr>
        <w:lastRenderedPageBreak/>
        <w:t>Хід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</w:rPr>
        <w:t>роботи</w:t>
      </w:r>
      <w:proofErr w:type="spellEnd"/>
    </w:p>
    <w:p w14:paraId="7507B300" w14:textId="77777777" w:rsidR="006170D8" w:rsidRDefault="006170D8" w:rsidP="006170D8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класифікацій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Стандарт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ISO/IEC 14764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коригувальне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профілактичне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перфективне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36AFA64" w14:textId="77777777" w:rsidR="006170D8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Коригувальне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асоціюється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будь-яким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Правильне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технічне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усуває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збої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програмах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вплинути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дизайн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логіку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надходять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звітів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створених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клієнтами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коригуюче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допомогти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помітити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ніж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клієнти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підвищити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репутацію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бренду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A149DAD" w14:textId="77777777" w:rsidR="006170D8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важливим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коли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змінюється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середовище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викликано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операційній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апаратному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залежностях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хмарному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сховищі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операційній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Іноді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відображає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політику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правила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служб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модифікація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постачальників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платіжних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процесорів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вимагати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адаптивного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3F1DD67" w14:textId="77777777" w:rsidR="006170D8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Профілактичне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вносити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воно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могло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тривалого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періоду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Метою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такого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типу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запобігання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погіршенню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воно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продовжує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змінюватися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послуги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включати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оптимізацію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потреби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Профілактичне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знизити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ризик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пов’язаний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тривалого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допомагаючи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стабільним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зрозумілим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придатним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0C76D17" w14:textId="77777777" w:rsidR="006170D8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Перфективне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зосереджується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еволюції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Коли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взаємодіють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вашими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вони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помітити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помічали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запропонувати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вони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хотіли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майбутніми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проектами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вдосконаленнями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Перфективне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бере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себе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додаючи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покращити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видаляючи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ефективними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функціональними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включати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допомагають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досягти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кінцевих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цілей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13F798A" w14:textId="77777777" w:rsidR="00C457D2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Мною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обране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відкритим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Avalonia</w:t>
      </w:r>
      <w:r w:rsidR="00C457D2">
        <w:rPr>
          <w:rFonts w:ascii="Times New Roman" w:eastAsia="Times New Roman" w:hAnsi="Times New Roman" w:cs="Times New Roman"/>
          <w:sz w:val="28"/>
          <w:szCs w:val="24"/>
        </w:rPr>
        <w:t xml:space="preserve"> UI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кросплатформний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фреймворк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інтерфейсу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користувача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dotnet,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забезпечує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гнучку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систему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стилізації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підтримує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широкий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спектр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операційних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систем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таких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як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Windows, Linux, macOS.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Авалонія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зріла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виробництво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готова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. У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нас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також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підтримка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бета-версії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iOS, Android і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ранніх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етапах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підтримка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браузера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>через</w:t>
      </w:r>
      <w:proofErr w:type="spellEnd"/>
      <w:r w:rsidR="00C457D2" w:rsidRPr="00C457D2">
        <w:rPr>
          <w:rFonts w:ascii="Times New Roman" w:eastAsia="Times New Roman" w:hAnsi="Times New Roman" w:cs="Times New Roman"/>
          <w:sz w:val="28"/>
          <w:szCs w:val="24"/>
        </w:rPr>
        <w:t xml:space="preserve"> WASM.</w:t>
      </w:r>
    </w:p>
    <w:p w14:paraId="2DB0FFCC" w14:textId="73C68A27" w:rsidR="006170D8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C457D2">
        <w:rPr>
          <w:rFonts w:ascii="Times New Roman" w:eastAsia="Times New Roman" w:hAnsi="Times New Roman" w:cs="Times New Roman"/>
          <w:sz w:val="28"/>
          <w:szCs w:val="24"/>
        </w:rPr>
        <w:t>C#.</w:t>
      </w:r>
    </w:p>
    <w:p w14:paraId="7608F10C" w14:textId="77777777" w:rsidR="00C457D2" w:rsidRDefault="006170D8" w:rsidP="006170D8">
      <w:pPr>
        <w:spacing w:line="276" w:lineRule="auto"/>
        <w:ind w:right="461"/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зрілості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5 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Інноваційний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»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).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вищий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рівень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зрілості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бізнес-процесами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де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компанія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вміє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адаптувати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існуючі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створювати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процеси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умов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змінюються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внутрішнього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зовнішнього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середовища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бізнесу</w:t>
      </w:r>
      <w:proofErr w:type="spellEnd"/>
      <w:r w:rsidR="00C457D2" w:rsidRPr="00C457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457D2" w:rsidRPr="00C457D2">
        <w:t xml:space="preserve"> </w:t>
      </w:r>
    </w:p>
    <w:p w14:paraId="7A51F312" w14:textId="69CA4AC3" w:rsidR="006170D8" w:rsidRDefault="00C457D2" w:rsidP="006170D8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lang w:val="uk-UA"/>
        </w:rPr>
        <w:tab/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Компанії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стосуються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даного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рівня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зрілості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вміють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управляти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своїми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бізнес-процесами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результати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аналізу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дозволяють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займатися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вдосконаленням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таких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організаціях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вдосконалення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бізнес-процесів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процесів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змінами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носить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постійний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</w:t>
      </w:r>
      <w:proofErr w:type="spellEnd"/>
      <w:r w:rsidRPr="00C457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4E7020F" w14:textId="77777777" w:rsidR="006170D8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досягти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шляхом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порівняльного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намагатися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вдосконалити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наш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додаючи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інновації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основна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увага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приділяється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постійному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вдосконаленню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Ключовими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напрямками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організаційною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ефективністю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проектами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D46D17E" w14:textId="77777777" w:rsidR="006170D8" w:rsidRDefault="006170D8" w:rsidP="006170D8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результатами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досліджень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створено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2154"/>
        <w:gridCol w:w="4410"/>
        <w:gridCol w:w="2390"/>
      </w:tblGrid>
      <w:tr w:rsidR="006170D8" w14:paraId="17CDA2C3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DF92A9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№ п/п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0A2699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Джерело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запиту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7A72F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запиту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556341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Категорія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465EDA0A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C6C4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2253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8AD1" w14:textId="0EC72D8D" w:rsidR="006170D8" w:rsidRPr="00C457D2" w:rsidRDefault="00C457D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Оптимізація або повний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рефакторинг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 навігаційної логіки програмного продукту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4466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Коригувальне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3E661B77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9B6F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B716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Користувач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7E97" w14:textId="3511CB40" w:rsidR="006170D8" w:rsidRPr="00C457D2" w:rsidRDefault="00C457D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Фікс програмних збоїв у процесі навігації </w:t>
            </w:r>
            <w:r w:rsidR="005151B7"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або та очікуванні запитів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3828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Коригувальне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222869D7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8243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42F9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FD09" w14:textId="5EE95224" w:rsidR="006170D8" w:rsidRPr="005151B7" w:rsidRDefault="005151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Зміна засобу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відоображення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UI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для користувачів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0D0D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7308A7EE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26D7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4.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AF65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Користувач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C64" w14:textId="0D12F278" w:rsidR="006170D8" w:rsidRPr="005151B7" w:rsidRDefault="005151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Адаптація програмного продукту на крос-платформному рівні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02BC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6E9F6ED4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5A29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C0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2A9" w14:textId="0C3B425D" w:rsidR="006170D8" w:rsidRPr="005151B7" w:rsidRDefault="005151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Оптимізація процесу використання системних інструментів та створення нових для покращення досвіду роботи з програмним продуктом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EDF9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Перфективне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0789A541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A124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D219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D1D6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Пошук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нових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алгоритмів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підходів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керування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життєвим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циклом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нових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гібридних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ІТ 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E6E5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Перфективне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1DB9221D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5BB8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8905" w14:textId="06ED49F2" w:rsidR="006170D8" w:rsidRPr="005151B7" w:rsidRDefault="005151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Користувач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633B" w14:textId="0C9BDA5C" w:rsidR="006170D8" w:rsidRPr="005151B7" w:rsidRDefault="005151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Написання нових та оновлення старої документації та навчальних ресурсів для клієнтів ПП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7CD1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Профілактичне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6170D8" w14:paraId="568EFD7F" w14:textId="77777777" w:rsidTr="006170D8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140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7F5D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E7D5" w14:textId="28F18C44" w:rsidR="006170D8" w:rsidRPr="005151B7" w:rsidRDefault="005151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Піднесення основних програмованих частин до загальноприйнятого стандарту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9013" w14:textId="77777777" w:rsidR="006170D8" w:rsidRDefault="006170D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Профілактичне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</w:tbl>
    <w:p w14:paraId="7F04F988" w14:textId="77777777" w:rsidR="005151B7" w:rsidRDefault="005151B7" w:rsidP="006170D8">
      <w:pPr>
        <w:spacing w:line="276" w:lineRule="auto"/>
        <w:ind w:right="461" w:firstLine="708"/>
        <w:rPr>
          <w:rFonts w:ascii="Times New Roman" w:hAnsi="Times New Roman" w:cs="Times New Roman"/>
          <w:sz w:val="28"/>
          <w:szCs w:val="28"/>
        </w:rPr>
      </w:pPr>
    </w:p>
    <w:p w14:paraId="2033F5E4" w14:textId="6573A388" w:rsidR="008C3F96" w:rsidRPr="006170D8" w:rsidRDefault="006170D8" w:rsidP="006170D8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5151B7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вивч</w:t>
      </w:r>
      <w:r w:rsidR="005151B7"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eastAsia="Times New Roman" w:hAnsi="Times New Roman" w:cs="Times New Roman"/>
          <w:sz w:val="28"/>
          <w:szCs w:val="24"/>
        </w:rPr>
        <w:t>класифікаці</w:t>
      </w:r>
      <w:proofErr w:type="spellEnd"/>
      <w:r w:rsidR="005151B7">
        <w:rPr>
          <w:rFonts w:ascii="Times New Roman" w:eastAsia="Times New Roman" w:hAnsi="Times New Roman" w:cs="Times New Roman"/>
          <w:sz w:val="28"/>
          <w:szCs w:val="24"/>
          <w:lang w:val="uk-UA"/>
        </w:rPr>
        <w:t>ї</w:t>
      </w:r>
      <w:r w:rsidR="005151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5151B7">
        <w:rPr>
          <w:rFonts w:ascii="Times New Roman" w:eastAsia="Times New Roman" w:hAnsi="Times New Roman" w:cs="Times New Roman"/>
          <w:sz w:val="28"/>
          <w:szCs w:val="24"/>
        </w:rPr>
        <w:t>категорій</w:t>
      </w:r>
      <w:proofErr w:type="spellEnd"/>
      <w:r w:rsidR="005151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5151B7"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 w:rsidR="005151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отрима</w:t>
      </w:r>
      <w:proofErr w:type="spellEnd"/>
      <w:r w:rsidR="005151B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практичн</w:t>
      </w:r>
      <w:proofErr w:type="spellEnd"/>
      <w:r w:rsidR="005151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навич</w:t>
      </w:r>
      <w:r w:rsidR="005151B7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="00515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оцін</w:t>
      </w:r>
      <w:bookmarkStart w:id="0" w:name="_GoBack"/>
      <w:bookmarkEnd w:id="0"/>
      <w:r w:rsidR="005151B7">
        <w:rPr>
          <w:rFonts w:ascii="Times New Roman" w:hAnsi="Times New Roman" w:cs="Times New Roman"/>
          <w:sz w:val="28"/>
          <w:szCs w:val="28"/>
        </w:rPr>
        <w:t>ені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B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="005151B7">
        <w:rPr>
          <w:rFonts w:ascii="Times New Roman" w:hAnsi="Times New Roman" w:cs="Times New Roman"/>
          <w:sz w:val="28"/>
          <w:szCs w:val="28"/>
        </w:rPr>
        <w:t>.</w:t>
      </w:r>
    </w:p>
    <w:sectPr w:rsidR="008C3F96" w:rsidRPr="006170D8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0448D"/>
    <w:multiLevelType w:val="hybridMultilevel"/>
    <w:tmpl w:val="236410D6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6"/>
  </w:num>
  <w:num w:numId="5">
    <w:abstractNumId w:val="1"/>
  </w:num>
  <w:num w:numId="6">
    <w:abstractNumId w:val="5"/>
  </w:num>
  <w:num w:numId="7">
    <w:abstractNumId w:val="13"/>
  </w:num>
  <w:num w:numId="8">
    <w:abstractNumId w:val="18"/>
  </w:num>
  <w:num w:numId="9">
    <w:abstractNumId w:val="11"/>
  </w:num>
  <w:num w:numId="10">
    <w:abstractNumId w:val="19"/>
  </w:num>
  <w:num w:numId="11">
    <w:abstractNumId w:val="14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15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D53E7"/>
    <w:rsid w:val="001E2BBC"/>
    <w:rsid w:val="002102BD"/>
    <w:rsid w:val="00235E4B"/>
    <w:rsid w:val="002B7915"/>
    <w:rsid w:val="002E21D3"/>
    <w:rsid w:val="002F5842"/>
    <w:rsid w:val="002F607E"/>
    <w:rsid w:val="0030197E"/>
    <w:rsid w:val="00310214"/>
    <w:rsid w:val="00311717"/>
    <w:rsid w:val="003318EF"/>
    <w:rsid w:val="003E174B"/>
    <w:rsid w:val="003E1B42"/>
    <w:rsid w:val="003E2C8E"/>
    <w:rsid w:val="003F28EE"/>
    <w:rsid w:val="00443AED"/>
    <w:rsid w:val="00477FF8"/>
    <w:rsid w:val="00493531"/>
    <w:rsid w:val="004E00F7"/>
    <w:rsid w:val="004E05F2"/>
    <w:rsid w:val="005151B7"/>
    <w:rsid w:val="005352EC"/>
    <w:rsid w:val="00543492"/>
    <w:rsid w:val="0055193F"/>
    <w:rsid w:val="00596052"/>
    <w:rsid w:val="005C10BD"/>
    <w:rsid w:val="005D1447"/>
    <w:rsid w:val="005F09DF"/>
    <w:rsid w:val="0061083C"/>
    <w:rsid w:val="00614F58"/>
    <w:rsid w:val="006170D8"/>
    <w:rsid w:val="0066738E"/>
    <w:rsid w:val="00674DF1"/>
    <w:rsid w:val="00692D56"/>
    <w:rsid w:val="006B04A5"/>
    <w:rsid w:val="006B3FEC"/>
    <w:rsid w:val="00703ABB"/>
    <w:rsid w:val="007132C9"/>
    <w:rsid w:val="00713642"/>
    <w:rsid w:val="00726773"/>
    <w:rsid w:val="007308B9"/>
    <w:rsid w:val="007457D7"/>
    <w:rsid w:val="007B0B5E"/>
    <w:rsid w:val="007F47F9"/>
    <w:rsid w:val="00851593"/>
    <w:rsid w:val="00856E02"/>
    <w:rsid w:val="008739B6"/>
    <w:rsid w:val="00875A47"/>
    <w:rsid w:val="008B71CA"/>
    <w:rsid w:val="008C3F96"/>
    <w:rsid w:val="008C4853"/>
    <w:rsid w:val="008F43EB"/>
    <w:rsid w:val="00933102"/>
    <w:rsid w:val="00962184"/>
    <w:rsid w:val="00975FCE"/>
    <w:rsid w:val="00992227"/>
    <w:rsid w:val="009A0FF6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457D2"/>
    <w:rsid w:val="00C517BE"/>
    <w:rsid w:val="00C53BBF"/>
    <w:rsid w:val="00C83481"/>
    <w:rsid w:val="00CD0E76"/>
    <w:rsid w:val="00CD3243"/>
    <w:rsid w:val="00CD6397"/>
    <w:rsid w:val="00D171DB"/>
    <w:rsid w:val="00D35AD0"/>
    <w:rsid w:val="00D461BA"/>
    <w:rsid w:val="00D6139E"/>
    <w:rsid w:val="00DC123B"/>
    <w:rsid w:val="00DD5286"/>
    <w:rsid w:val="00DD66B7"/>
    <w:rsid w:val="00DE6CF6"/>
    <w:rsid w:val="00DF1734"/>
    <w:rsid w:val="00E70746"/>
    <w:rsid w:val="00EA16AD"/>
    <w:rsid w:val="00EB5B34"/>
    <w:rsid w:val="00ED539C"/>
    <w:rsid w:val="00F139E0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D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5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514A-F978-4FE6-81E6-DF4E4197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33</cp:revision>
  <dcterms:created xsi:type="dcterms:W3CDTF">2022-08-28T21:27:00Z</dcterms:created>
  <dcterms:modified xsi:type="dcterms:W3CDTF">2022-11-07T01:05:00Z</dcterms:modified>
</cp:coreProperties>
</file>