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D0D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47EBB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212ACD1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020B67C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99883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F0AE1E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004AB1" wp14:editId="393E284A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1493" w14:textId="259BBC8E" w:rsidR="00933102" w:rsidRPr="00134E1E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5549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28A1D86" w14:textId="29B3E0CB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308B9">
        <w:rPr>
          <w:rFonts w:ascii="Times New Roman" w:hAnsi="Times New Roman" w:cs="Times New Roman"/>
          <w:sz w:val="28"/>
          <w:szCs w:val="28"/>
          <w:lang w:val="uk-UA"/>
        </w:rPr>
        <w:t>Супроводження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29114C9" w14:textId="77777777" w:rsidR="00455491" w:rsidRDefault="005F09DF" w:rsidP="004554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08B9" w:rsidRPr="007308B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55491" w:rsidRPr="00455491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стандартів супроводження IEEE1219 та </w:t>
      </w:r>
    </w:p>
    <w:p w14:paraId="479B7A84" w14:textId="08B2E893" w:rsidR="005F09DF" w:rsidRPr="005F09DF" w:rsidRDefault="00455491" w:rsidP="004554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5491">
        <w:rPr>
          <w:rFonts w:ascii="Times New Roman" w:hAnsi="Times New Roman" w:cs="Times New Roman"/>
          <w:sz w:val="28"/>
          <w:szCs w:val="28"/>
          <w:lang w:val="uk-UA"/>
        </w:rPr>
        <w:t>ISO/IEC14764</w:t>
      </w:r>
      <w:r w:rsidR="007308B9" w:rsidRPr="007308B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B7F5D1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5E20ED" w14:textId="77777777" w:rsidR="00134E1E" w:rsidRDefault="00134E1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22014E" w14:textId="77777777"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990C0A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256FBB78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4A77AA48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CC7521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1DB65F30" w14:textId="2E704EFC" w:rsidR="00933102" w:rsidRPr="00933102" w:rsidRDefault="007308B9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Корнієнко С. П.</w:t>
      </w:r>
    </w:p>
    <w:p w14:paraId="786E730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3EBA8A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8630EB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0FA120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A54F4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DEF3A4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2AAEBF8A" w14:textId="77777777" w:rsidR="00455491" w:rsidRPr="00455491" w:rsidRDefault="00455491" w:rsidP="00455491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549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Завдання</w:t>
      </w:r>
    </w:p>
    <w:p w14:paraId="0CF6C7D5" w14:textId="51C662C9" w:rsidR="00455491" w:rsidRPr="00455491" w:rsidRDefault="00455491" w:rsidP="004554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5491">
        <w:rPr>
          <w:rFonts w:ascii="Times New Roman" w:hAnsi="Times New Roman" w:cs="Times New Roman"/>
          <w:bCs/>
          <w:sz w:val="28"/>
          <w:szCs w:val="28"/>
          <w:lang w:val="uk-UA"/>
        </w:rPr>
        <w:t>Опис предметної області;</w:t>
      </w:r>
    </w:p>
    <w:p w14:paraId="725D00C8" w14:textId="39AC8E8C" w:rsidR="00455491" w:rsidRPr="00455491" w:rsidRDefault="00455491" w:rsidP="004554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5491">
        <w:rPr>
          <w:rFonts w:ascii="Times New Roman" w:hAnsi="Times New Roman" w:cs="Times New Roman"/>
          <w:bCs/>
          <w:sz w:val="28"/>
          <w:szCs w:val="28"/>
          <w:lang w:val="uk-UA"/>
        </w:rPr>
        <w:t>План супроводу програмного забезпечення (відповідно до Шаблону), розділ 3 якого повинен бути деталізовано описаний, використовуючи інформацію про предметну область та процеси супроводження зі стандарту ISO / IEC 14764;</w:t>
      </w:r>
    </w:p>
    <w:p w14:paraId="74F3E0A7" w14:textId="2B5EEDD1" w:rsidR="00455491" w:rsidRPr="00455491" w:rsidRDefault="00455491" w:rsidP="004554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5491">
        <w:rPr>
          <w:rFonts w:ascii="Times New Roman" w:hAnsi="Times New Roman" w:cs="Times New Roman"/>
          <w:bCs/>
          <w:sz w:val="28"/>
          <w:szCs w:val="28"/>
          <w:lang w:val="uk-UA"/>
        </w:rPr>
        <w:t>Можливі запити на зміну програмного забезпечення</w:t>
      </w:r>
    </w:p>
    <w:p w14:paraId="376BC867" w14:textId="1F0E8100" w:rsidR="00455491" w:rsidRPr="00455491" w:rsidRDefault="00455491" w:rsidP="004554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54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Показники </w:t>
      </w:r>
      <w:proofErr w:type="spellStart"/>
      <w:r w:rsidRPr="00455491">
        <w:rPr>
          <w:rFonts w:ascii="Times New Roman" w:hAnsi="Times New Roman" w:cs="Times New Roman"/>
          <w:bCs/>
          <w:sz w:val="28"/>
          <w:szCs w:val="28"/>
          <w:lang w:val="uk-UA"/>
        </w:rPr>
        <w:t>супроводжуваності</w:t>
      </w:r>
      <w:proofErr w:type="spellEnd"/>
      <w:r w:rsidRPr="004554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програмного забезпечення такі як*: NP, ACT, E для 1 і 2 рівня, EAFM.</w:t>
      </w:r>
    </w:p>
    <w:p w14:paraId="6566B9B6" w14:textId="22D74481" w:rsidR="00493531" w:rsidRPr="00851593" w:rsidRDefault="00493531" w:rsidP="00B6530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593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4C1A54E8" w14:textId="77777777" w:rsidR="00455491" w:rsidRDefault="007308B9" w:rsidP="00455491">
      <w:pPr>
        <w:spacing w:line="276" w:lineRule="auto"/>
        <w:ind w:right="461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proofErr w:type="spellStart"/>
      <w:r w:rsidR="00455491">
        <w:rPr>
          <w:rFonts w:ascii="Times New Roman" w:eastAsia="Times New Roman" w:hAnsi="Times New Roman" w:cs="Times New Roman"/>
          <w:sz w:val="28"/>
          <w:szCs w:val="24"/>
        </w:rPr>
        <w:t>Опис</w:t>
      </w:r>
      <w:proofErr w:type="spellEnd"/>
      <w:r w:rsid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455491">
        <w:rPr>
          <w:rFonts w:ascii="Times New Roman" w:eastAsia="Times New Roman" w:hAnsi="Times New Roman" w:cs="Times New Roman"/>
          <w:sz w:val="28"/>
          <w:szCs w:val="24"/>
        </w:rPr>
        <w:t>предметної</w:t>
      </w:r>
      <w:proofErr w:type="spellEnd"/>
      <w:r w:rsid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455491">
        <w:rPr>
          <w:rFonts w:ascii="Times New Roman" w:eastAsia="Times New Roman" w:hAnsi="Times New Roman" w:cs="Times New Roman"/>
          <w:sz w:val="28"/>
          <w:szCs w:val="24"/>
        </w:rPr>
        <w:t>області</w:t>
      </w:r>
      <w:proofErr w:type="spellEnd"/>
    </w:p>
    <w:p w14:paraId="29381C5A" w14:textId="36ADB397" w:rsidR="00455491" w:rsidRDefault="00455491" w:rsidP="00455491">
      <w:pPr>
        <w:spacing w:line="276" w:lineRule="auto"/>
        <w:ind w:right="461" w:firstLine="708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Мною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обране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відкритим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кодом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457D2">
        <w:rPr>
          <w:rFonts w:ascii="Times New Roman" w:eastAsia="Times New Roman" w:hAnsi="Times New Roman" w:cs="Times New Roman"/>
          <w:sz w:val="28"/>
          <w:szCs w:val="24"/>
        </w:rPr>
        <w:t>Avalonia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UI –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кросплатформний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фреймворк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інтерфейсу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користувача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dotnet,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що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забезпечує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гнучку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систему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стилізації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підтримує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широкий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спектр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операційних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систем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таких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як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Windows, Linux, macOS. </w:t>
      </w:r>
      <w:r w:rsidR="005C6E72">
        <w:rPr>
          <w:rFonts w:ascii="Times New Roman" w:eastAsia="Times New Roman" w:hAnsi="Times New Roman" w:cs="Times New Roman"/>
          <w:sz w:val="28"/>
          <w:szCs w:val="24"/>
          <w:lang w:val="uk-UA"/>
        </w:rPr>
        <w:t>Т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акож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є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підтримка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бета-версії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iOS, Android і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ранніх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етапах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підтримка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браузера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C457D2">
        <w:rPr>
          <w:rFonts w:ascii="Times New Roman" w:eastAsia="Times New Roman" w:hAnsi="Times New Roman" w:cs="Times New Roman"/>
          <w:sz w:val="28"/>
          <w:szCs w:val="24"/>
        </w:rPr>
        <w:t>через</w:t>
      </w:r>
      <w:proofErr w:type="spellEnd"/>
      <w:r w:rsidRPr="00C457D2">
        <w:rPr>
          <w:rFonts w:ascii="Times New Roman" w:eastAsia="Times New Roman" w:hAnsi="Times New Roman" w:cs="Times New Roman"/>
          <w:sz w:val="28"/>
          <w:szCs w:val="24"/>
        </w:rPr>
        <w:t xml:space="preserve"> WASM.</w:t>
      </w:r>
    </w:p>
    <w:p w14:paraId="68A47AE4" w14:textId="090BF395" w:rsidR="00455491" w:rsidRDefault="00455491" w:rsidP="00455491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Фреймворк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програмна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оболонка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що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дозволяє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спростити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і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прискорити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вирішення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типових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завдань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характерних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даної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мови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програмування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Саме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слово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framework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означає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каркас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» в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перекладі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 w:rsidRPr="00455491">
        <w:rPr>
          <w:rFonts w:ascii="Times New Roman" w:eastAsia="Times New Roman" w:hAnsi="Times New Roman" w:cs="Times New Roman"/>
          <w:sz w:val="28"/>
          <w:szCs w:val="24"/>
        </w:rPr>
        <w:t>англійської</w:t>
      </w:r>
      <w:proofErr w:type="spellEnd"/>
      <w:r w:rsidRPr="00455491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3A08E96" w14:textId="1C2A15B0" w:rsidR="00455491" w:rsidRDefault="00455491" w:rsidP="00455491">
      <w:pPr>
        <w:spacing w:line="276" w:lineRule="auto"/>
        <w:ind w:right="461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 C</w:t>
      </w:r>
      <w:r w:rsidR="005C6E72">
        <w:rPr>
          <w:rFonts w:ascii="Times New Roman" w:eastAsia="Times New Roman" w:hAnsi="Times New Roman" w:cs="Times New Roman"/>
          <w:sz w:val="28"/>
          <w:szCs w:val="24"/>
        </w:rPr>
        <w:t>#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5C6E72">
        <w:rPr>
          <w:rFonts w:ascii="Times New Roman" w:eastAsia="Times New Roman" w:hAnsi="Times New Roman" w:cs="Times New Roman"/>
          <w:sz w:val="28"/>
          <w:szCs w:val="24"/>
        </w:rPr>
        <w:t>Objective-</w:t>
      </w:r>
      <w:r>
        <w:rPr>
          <w:rFonts w:ascii="Times New Roman" w:eastAsia="Times New Roman" w:hAnsi="Times New Roman" w:cs="Times New Roman"/>
          <w:sz w:val="28"/>
          <w:szCs w:val="24"/>
        </w:rPr>
        <w:t>C</w:t>
      </w:r>
      <w:r w:rsidR="005C6E72">
        <w:rPr>
          <w:rFonts w:ascii="Times New Roman" w:eastAsia="Times New Roman" w:hAnsi="Times New Roman" w:cs="Times New Roman"/>
          <w:sz w:val="28"/>
          <w:szCs w:val="24"/>
        </w:rPr>
        <w:t>++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5C6E72">
        <w:rPr>
          <w:rFonts w:ascii="Times New Roman" w:eastAsia="Times New Roman" w:hAnsi="Times New Roman" w:cs="Times New Roman"/>
          <w:sz w:val="28"/>
          <w:szCs w:val="24"/>
        </w:rPr>
        <w:t>TypeScript, Objective-C, C++</w:t>
      </w:r>
      <w:r w:rsidR="005C6E7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-</w:t>
      </w:r>
      <w:r w:rsid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інші</w:t>
      </w:r>
      <w:proofErr w:type="spellEnd"/>
      <w:r w:rsidR="005C6E72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Платформа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доступна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Microsoft Windows, macOS, Linux</w:t>
      </w:r>
      <w:r w:rsidR="005C6E72">
        <w:rPr>
          <w:rFonts w:ascii="Times New Roman" w:eastAsia="Times New Roman" w:hAnsi="Times New Roman" w:cs="Times New Roman"/>
          <w:sz w:val="28"/>
          <w:szCs w:val="24"/>
        </w:rPr>
        <w:t xml:space="preserve">, IOS </w:t>
      </w:r>
      <w:r w:rsidR="005C6E72">
        <w:rPr>
          <w:rFonts w:ascii="Times New Roman" w:eastAsia="Times New Roman" w:hAnsi="Times New Roman" w:cs="Times New Roman"/>
          <w:sz w:val="28"/>
          <w:szCs w:val="24"/>
          <w:lang w:val="uk-UA"/>
        </w:rPr>
        <w:t>та</w:t>
      </w:r>
      <w:r w:rsidR="005C6E72">
        <w:rPr>
          <w:rFonts w:ascii="Times New Roman" w:eastAsia="Times New Roman" w:hAnsi="Times New Roman" w:cs="Times New Roman"/>
          <w:sz w:val="28"/>
          <w:szCs w:val="24"/>
        </w:rPr>
        <w:t xml:space="preserve"> Android.</w:t>
      </w:r>
    </w:p>
    <w:p w14:paraId="018ADBA6" w14:textId="77777777" w:rsidR="00455491" w:rsidRDefault="00455491" w:rsidP="00455491">
      <w:pPr>
        <w:spacing w:line="276" w:lineRule="auto"/>
        <w:ind w:right="461"/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План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</w:p>
    <w:p w14:paraId="471929E6" w14:textId="77777777" w:rsidR="00455491" w:rsidRDefault="00455491" w:rsidP="00455491">
      <w:pPr>
        <w:pStyle w:val="ListParagraph"/>
        <w:numPr>
          <w:ilvl w:val="0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Введення</w:t>
      </w:r>
      <w:proofErr w:type="spellEnd"/>
    </w:p>
    <w:p w14:paraId="6796A183" w14:textId="41A045A0" w:rsidR="005C6E72" w:rsidRDefault="00455491" w:rsidP="005C6E72">
      <w:pPr>
        <w:pStyle w:val="ListParagraph"/>
        <w:numPr>
          <w:ilvl w:val="1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супроводжуваної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системи</w:t>
      </w:r>
      <w:proofErr w:type="spellEnd"/>
    </w:p>
    <w:p w14:paraId="3C9BEE2E" w14:textId="4B2A89AB" w:rsidR="005C6E72" w:rsidRPr="005C6E72" w:rsidRDefault="005C6E72" w:rsidP="005C6E72">
      <w:pPr>
        <w:pStyle w:val="ListParagraph"/>
        <w:spacing w:line="276" w:lineRule="auto"/>
        <w:ind w:left="360" w:right="461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ab/>
      </w:r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Avalonia UI –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кросплатформний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фреймворк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інтерфейсу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користувача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dotnet,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що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забезпечує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гнучку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систему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стилізації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підтримує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широкий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спектр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операційних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систем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таких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як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Windows, Linux, macOS. </w:t>
      </w:r>
      <w:r w:rsidRPr="005C6E72">
        <w:rPr>
          <w:rFonts w:ascii="Times New Roman" w:eastAsia="Times New Roman" w:hAnsi="Times New Roman" w:cs="Times New Roman"/>
          <w:sz w:val="28"/>
          <w:szCs w:val="24"/>
          <w:lang w:val="uk-UA"/>
        </w:rPr>
        <w:t>Т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акож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є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підтримка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бета-версії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iOS, Android і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ранніх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етапах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підтримка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браузера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5C6E72">
        <w:rPr>
          <w:rFonts w:ascii="Times New Roman" w:eastAsia="Times New Roman" w:hAnsi="Times New Roman" w:cs="Times New Roman"/>
          <w:sz w:val="28"/>
          <w:szCs w:val="24"/>
        </w:rPr>
        <w:t>через</w:t>
      </w:r>
      <w:proofErr w:type="spellEnd"/>
      <w:r w:rsidRPr="005C6E72">
        <w:rPr>
          <w:rFonts w:ascii="Times New Roman" w:eastAsia="Times New Roman" w:hAnsi="Times New Roman" w:cs="Times New Roman"/>
          <w:sz w:val="28"/>
          <w:szCs w:val="24"/>
        </w:rPr>
        <w:t xml:space="preserve"> WASM.</w:t>
      </w:r>
    </w:p>
    <w:p w14:paraId="4371BE07" w14:textId="77777777" w:rsidR="00455491" w:rsidRDefault="00455491" w:rsidP="00455491">
      <w:pPr>
        <w:pStyle w:val="ListParagraph"/>
        <w:numPr>
          <w:ilvl w:val="1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вихідних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станів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засобу</w:t>
      </w:r>
      <w:proofErr w:type="spellEnd"/>
    </w:p>
    <w:p w14:paraId="7D93DE11" w14:textId="27F68A5C" w:rsidR="00455491" w:rsidRDefault="00455491" w:rsidP="00455491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Перший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офіційний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випуск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C6E72">
        <w:rPr>
          <w:rFonts w:ascii="Times New Roman" w:eastAsia="Times New Roman" w:hAnsi="Times New Roman" w:cs="Times New Roman"/>
          <w:sz w:val="28"/>
          <w:szCs w:val="24"/>
        </w:rPr>
        <w:t>13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C6E72">
        <w:rPr>
          <w:rFonts w:ascii="Times New Roman" w:eastAsia="Times New Roman" w:hAnsi="Times New Roman" w:cs="Times New Roman"/>
          <w:sz w:val="28"/>
          <w:szCs w:val="24"/>
          <w:lang w:val="uk-UA"/>
        </w:rPr>
        <w:t>травня 2017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року</w:t>
      </w:r>
      <w:proofErr w:type="spellEnd"/>
      <w:r w:rsidR="00C763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76317">
        <w:rPr>
          <w:rFonts w:ascii="Times New Roman" w:eastAsia="Times New Roman" w:hAnsi="Times New Roman" w:cs="Times New Roman"/>
          <w:sz w:val="28"/>
          <w:szCs w:val="24"/>
          <w:lang w:val="uk-UA"/>
        </w:rPr>
        <w:t>на версії 0.5.0</w:t>
      </w:r>
    </w:p>
    <w:p w14:paraId="2CBB35FA" w14:textId="77777777" w:rsidR="00455491" w:rsidRDefault="00455491" w:rsidP="00455491">
      <w:pPr>
        <w:pStyle w:val="ListParagraph"/>
        <w:numPr>
          <w:ilvl w:val="1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рівня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підтримки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вимагається</w:t>
      </w:r>
      <w:proofErr w:type="spellEnd"/>
    </w:p>
    <w:p w14:paraId="25127EC8" w14:textId="3826AF62" w:rsidR="00455491" w:rsidRDefault="00455491" w:rsidP="00455491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випуску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C763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C76317">
        <w:rPr>
          <w:rFonts w:ascii="Times New Roman" w:eastAsia="Times New Roman" w:hAnsi="Times New Roman" w:cs="Times New Roman"/>
          <w:sz w:val="28"/>
          <w:szCs w:val="24"/>
        </w:rPr>
        <w:t>Avilonia</w:t>
      </w:r>
      <w:proofErr w:type="spellEnd"/>
      <w:r w:rsidR="00C76317">
        <w:rPr>
          <w:rFonts w:ascii="Times New Roman" w:eastAsia="Times New Roman" w:hAnsi="Times New Roman" w:cs="Times New Roman"/>
          <w:sz w:val="28"/>
          <w:szCs w:val="24"/>
        </w:rPr>
        <w:t xml:space="preserve"> UI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постійно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оновлюючи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нових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версіях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виправляються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функціонал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категорії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ПЗ.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Коригуюче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допомагає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помітити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клієнтів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псувати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репутацію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бренду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Адаптивного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включає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служб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модифікація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постачальників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платіжних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процесорів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Профілактичне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включає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оптимізацію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документації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потреби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Перфективне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покращити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роботу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видаляючи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ефективними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функціональними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19672A8" w14:textId="77777777" w:rsidR="00455491" w:rsidRDefault="00455491" w:rsidP="00455491">
      <w:pPr>
        <w:pStyle w:val="ListParagraph"/>
        <w:numPr>
          <w:ilvl w:val="1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проводить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</w:p>
    <w:p w14:paraId="13B9731F" w14:textId="272D75B8" w:rsidR="00455491" w:rsidRDefault="00455491" w:rsidP="00455491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Розробники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76317" w:rsidRPr="00C76317">
        <w:rPr>
          <w:rFonts w:ascii="Times New Roman" w:eastAsia="Times New Roman" w:hAnsi="Times New Roman" w:cs="Times New Roman"/>
          <w:sz w:val="28"/>
          <w:szCs w:val="24"/>
        </w:rPr>
        <w:t xml:space="preserve">Avalonia UI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учасники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Корпорації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76317" w:rsidRPr="00C76317">
        <w:rPr>
          <w:rFonts w:ascii="Times New Roman" w:eastAsia="Times New Roman" w:hAnsi="Times New Roman" w:cs="Times New Roman"/>
          <w:sz w:val="28"/>
          <w:szCs w:val="24"/>
        </w:rPr>
        <w:t>Avalonia UI Limited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C8228CE" w14:textId="77777777" w:rsidR="00455491" w:rsidRDefault="00455491" w:rsidP="00455491">
      <w:pPr>
        <w:pStyle w:val="ListParagraph"/>
        <w:numPr>
          <w:ilvl w:val="1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умов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протоколів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узгоджених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замовником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постачальником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7A8F464" w14:textId="26BB0A63" w:rsidR="00455491" w:rsidRPr="00851371" w:rsidRDefault="00851371" w:rsidP="00BA6EBD">
      <w:pPr>
        <w:pStyle w:val="ListParagraph"/>
        <w:spacing w:line="276" w:lineRule="auto"/>
        <w:ind w:left="1512" w:right="461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Постачальник – </w:t>
      </w:r>
      <w:r w:rsidRPr="00C76317">
        <w:rPr>
          <w:rFonts w:ascii="Times New Roman" w:eastAsia="Times New Roman" w:hAnsi="Times New Roman" w:cs="Times New Roman"/>
          <w:sz w:val="28"/>
          <w:szCs w:val="24"/>
        </w:rPr>
        <w:t>Avalonia UI Limited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51A13791" w14:textId="6ACAD8A0" w:rsidR="00851371" w:rsidRDefault="00851371" w:rsidP="00BA6EBD">
      <w:pPr>
        <w:pStyle w:val="ListParagraph"/>
        <w:spacing w:line="276" w:lineRule="auto"/>
        <w:ind w:left="1512" w:right="461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Замовник – користувач.</w:t>
      </w:r>
    </w:p>
    <w:p w14:paraId="02E5618C" w14:textId="526BE317" w:rsidR="00851371" w:rsidRPr="00851371" w:rsidRDefault="001E7E69" w:rsidP="00851371">
      <w:pPr>
        <w:pStyle w:val="ListParagraph"/>
        <w:numPr>
          <w:ilvl w:val="0"/>
          <w:numId w:val="25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Замовник </w:t>
      </w:r>
      <w:r w:rsidR="00851371" w:rsidRPr="00851371">
        <w:rPr>
          <w:rFonts w:ascii="Times New Roman" w:eastAsia="Times New Roman" w:hAnsi="Times New Roman" w:cs="Times New Roman"/>
          <w:sz w:val="28"/>
          <w:szCs w:val="24"/>
          <w:lang w:val="uk-UA"/>
        </w:rPr>
        <w:t>заявля</w:t>
      </w:r>
      <w:r w:rsidR="00851371">
        <w:rPr>
          <w:rFonts w:ascii="Times New Roman" w:eastAsia="Times New Roman" w:hAnsi="Times New Roman" w:cs="Times New Roman"/>
          <w:sz w:val="28"/>
          <w:szCs w:val="24"/>
          <w:lang w:val="uk-UA"/>
        </w:rPr>
        <w:t>є</w:t>
      </w:r>
      <w:r w:rsidR="00851371" w:rsidRPr="0085137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, що </w:t>
      </w:r>
      <w:r w:rsidR="00851371">
        <w:rPr>
          <w:rFonts w:ascii="Times New Roman" w:eastAsia="Times New Roman" w:hAnsi="Times New Roman" w:cs="Times New Roman"/>
          <w:sz w:val="28"/>
          <w:szCs w:val="24"/>
          <w:lang w:val="uk-UA"/>
        </w:rPr>
        <w:t>йому</w:t>
      </w:r>
      <w:r w:rsidR="00851371" w:rsidRPr="0085137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виповнилося 18 років</w:t>
      </w:r>
      <w:r w:rsidR="00851371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4F853481" w14:textId="7995F0CA" w:rsidR="00851371" w:rsidRPr="00851371" w:rsidRDefault="00851371" w:rsidP="00851371">
      <w:pPr>
        <w:pStyle w:val="ListParagraph"/>
        <w:numPr>
          <w:ilvl w:val="0"/>
          <w:numId w:val="25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851371">
        <w:rPr>
          <w:rFonts w:ascii="Times New Roman" w:eastAsia="Times New Roman" w:hAnsi="Times New Roman" w:cs="Times New Roman"/>
          <w:sz w:val="28"/>
          <w:szCs w:val="24"/>
          <w:lang w:val="uk-UA"/>
        </w:rPr>
        <w:t>Законодавство країни, за винятком її колізійних норм, регулює ці Умови та використання Вами Сервісу</w:t>
      </w:r>
      <w:r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08437F68" w14:textId="2F005441" w:rsidR="00851371" w:rsidRPr="001E7E69" w:rsidRDefault="00851371" w:rsidP="00851371">
      <w:pPr>
        <w:pStyle w:val="ListParagraph"/>
        <w:numPr>
          <w:ilvl w:val="0"/>
          <w:numId w:val="25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85137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Незважаючи на будь-які збитки, які </w:t>
      </w:r>
      <w:r w:rsidR="001E7E6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Замовник </w:t>
      </w:r>
      <w:r w:rsidRPr="0085137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можете понести, вся відповідальність Компанії та будь-якого з її постачальників за будь-яким положенням цих Умов та </w:t>
      </w:r>
      <w:r w:rsidR="001E7E69">
        <w:rPr>
          <w:rFonts w:ascii="Times New Roman" w:eastAsia="Times New Roman" w:hAnsi="Times New Roman" w:cs="Times New Roman"/>
          <w:sz w:val="28"/>
          <w:szCs w:val="24"/>
          <w:lang w:val="uk-UA"/>
        </w:rPr>
        <w:t>Його</w:t>
      </w:r>
      <w:r w:rsidRPr="0085137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ексклюзивним засобом правового захисту для всього вищевикладеного обмежується сумою, фактично сплаченою </w:t>
      </w:r>
      <w:r w:rsidR="001E7E69">
        <w:rPr>
          <w:rFonts w:ascii="Times New Roman" w:eastAsia="Times New Roman" w:hAnsi="Times New Roman" w:cs="Times New Roman"/>
          <w:sz w:val="28"/>
          <w:szCs w:val="24"/>
          <w:lang w:val="uk-UA"/>
        </w:rPr>
        <w:t>Ним</w:t>
      </w:r>
      <w:r w:rsidRPr="0085137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через Сервіс, або 100 доларами США, якщо </w:t>
      </w:r>
      <w:r w:rsidR="001E7E69">
        <w:rPr>
          <w:rFonts w:ascii="Times New Roman" w:eastAsia="Times New Roman" w:hAnsi="Times New Roman" w:cs="Times New Roman"/>
          <w:sz w:val="28"/>
          <w:szCs w:val="24"/>
          <w:lang w:val="uk-UA"/>
        </w:rPr>
        <w:t>Він</w:t>
      </w:r>
      <w:r w:rsidRPr="00851371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нічого не придба</w:t>
      </w:r>
      <w:r w:rsidR="001E7E6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 </w:t>
      </w:r>
      <w:r w:rsidRPr="00851371">
        <w:rPr>
          <w:rFonts w:ascii="Times New Roman" w:eastAsia="Times New Roman" w:hAnsi="Times New Roman" w:cs="Times New Roman"/>
          <w:sz w:val="28"/>
          <w:szCs w:val="24"/>
          <w:lang w:val="uk-UA"/>
        </w:rPr>
        <w:t>через Сервіс</w:t>
      </w:r>
      <w:r w:rsidR="001E7E69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10C2E60A" w14:textId="367CDBB0" w:rsidR="001E7E69" w:rsidRPr="00851371" w:rsidRDefault="001E7E69" w:rsidP="00851371">
      <w:pPr>
        <w:pStyle w:val="ListParagraph"/>
        <w:numPr>
          <w:ilvl w:val="0"/>
          <w:numId w:val="25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Постачальник </w:t>
      </w:r>
      <w:r w:rsidRPr="001E7E6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може припинити або призупинити доступ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Замовник </w:t>
      </w:r>
      <w:r w:rsidRPr="001E7E69">
        <w:rPr>
          <w:rFonts w:ascii="Times New Roman" w:eastAsia="Times New Roman" w:hAnsi="Times New Roman" w:cs="Times New Roman"/>
          <w:sz w:val="28"/>
          <w:szCs w:val="24"/>
          <w:lang w:val="uk-UA"/>
        </w:rPr>
        <w:t>негайно, без попереднього повідомлення або відповідальності, з будь-якої причини, включаючи, але не обмежуючись, якщо ви порушите ці Правила та умови.</w:t>
      </w:r>
    </w:p>
    <w:p w14:paraId="74A7879B" w14:textId="77777777" w:rsidR="001E7E69" w:rsidRDefault="001E7E69" w:rsidP="001E7E69">
      <w:pPr>
        <w:pStyle w:val="ListParagraph"/>
        <w:numPr>
          <w:ilvl w:val="0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Концепція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</w:p>
    <w:p w14:paraId="5A0A4D9A" w14:textId="77777777" w:rsidR="001E7E69" w:rsidRDefault="001E7E69" w:rsidP="001E7E69">
      <w:pPr>
        <w:pStyle w:val="ListParagraph"/>
        <w:spacing w:line="276" w:lineRule="auto"/>
        <w:ind w:left="360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покращення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виправлення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дефектів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програмному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вводу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експлуатації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стандартизовано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організацією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ISO — ISO/IEC 14764.</w:t>
      </w:r>
    </w:p>
    <w:p w14:paraId="584FF65E" w14:textId="77777777" w:rsidR="001E7E69" w:rsidRDefault="001E7E69" w:rsidP="001E7E69">
      <w:pPr>
        <w:pStyle w:val="ListParagraph"/>
        <w:numPr>
          <w:ilvl w:val="1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концепції</w:t>
      </w:r>
      <w:proofErr w:type="spellEnd"/>
    </w:p>
    <w:p w14:paraId="0EAB63CC" w14:textId="77777777" w:rsidR="001E7E69" w:rsidRDefault="001E7E69" w:rsidP="001E7E69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Область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продукту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обирається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кваліфікації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фахівця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різниться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обов’язками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простору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залучили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0202EF2" w14:textId="77777777" w:rsidR="001E7E69" w:rsidRDefault="001E7E69" w:rsidP="001E7E69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Практичне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адаптацію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покращення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виправлення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дефектів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у ПЗ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пріоретизацією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задач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виправлення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багів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нового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функціоналу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ефективними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функціональними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DB5EFB3" w14:textId="5EB951F7" w:rsidR="001E7E69" w:rsidRDefault="001E7E69" w:rsidP="001E7E69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Розробники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76317">
        <w:rPr>
          <w:rFonts w:ascii="Times New Roman" w:eastAsia="Times New Roman" w:hAnsi="Times New Roman" w:cs="Times New Roman"/>
          <w:sz w:val="28"/>
          <w:szCs w:val="24"/>
        </w:rPr>
        <w:t>Avalonia UI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визначають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функціоналу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релізу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наступної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продукту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B9948C" w14:textId="77777777" w:rsidR="001E7E69" w:rsidRDefault="001E7E69" w:rsidP="001E7E69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вартості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тривалості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результатом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впливу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рекомендований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узгоджені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оновлені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виправлені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документи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58495A1" w14:textId="77777777" w:rsidR="001E7E69" w:rsidRDefault="001E7E69" w:rsidP="001E7E69">
      <w:pPr>
        <w:pStyle w:val="ListParagraph"/>
        <w:numPr>
          <w:ilvl w:val="1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рівня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підтримки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системи</w:t>
      </w:r>
      <w:proofErr w:type="spellEnd"/>
    </w:p>
    <w:p w14:paraId="4A6D0200" w14:textId="77777777" w:rsidR="001E7E69" w:rsidRDefault="001E7E69" w:rsidP="001E7E69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Високий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підтримки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прогресивних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категорії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ПЗ: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коригувальне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адаптивне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профілактичне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перфективне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внесенні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обов’язково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ведеться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відповідна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документація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2F2A2E6" w14:textId="77777777" w:rsidR="001E7E69" w:rsidRDefault="001E7E69" w:rsidP="001E7E69">
      <w:pPr>
        <w:pStyle w:val="ListParagraph"/>
        <w:numPr>
          <w:ilvl w:val="1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періоду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підтримки</w:t>
      </w:r>
      <w:proofErr w:type="spellEnd"/>
    </w:p>
    <w:p w14:paraId="416036C8" w14:textId="10308BB4" w:rsidR="001E7E69" w:rsidRDefault="001E7E69" w:rsidP="001E7E69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офіційного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випуску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76317">
        <w:rPr>
          <w:rFonts w:ascii="Times New Roman" w:eastAsia="Times New Roman" w:hAnsi="Times New Roman" w:cs="Times New Roman"/>
          <w:sz w:val="28"/>
          <w:szCs w:val="24"/>
        </w:rPr>
        <w:t>Avalonia UI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супроводжуватись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наявності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попиту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 даним продуктом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актуальною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інформацією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дане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ПЗ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супроводжується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наразі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3227FB5" w14:textId="77777777" w:rsidR="001E7E69" w:rsidRDefault="001E7E69" w:rsidP="001E7E69">
      <w:pPr>
        <w:pStyle w:val="ListParagraph"/>
        <w:numPr>
          <w:ilvl w:val="1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Адаптація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практичне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</w:p>
    <w:p w14:paraId="7D8A0F8D" w14:textId="5D285C6A" w:rsidR="001E7E69" w:rsidRDefault="001E7E69" w:rsidP="001E7E69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Адаптація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статуту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компанії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76317">
        <w:rPr>
          <w:rFonts w:ascii="Times New Roman" w:eastAsia="Times New Roman" w:hAnsi="Times New Roman" w:cs="Times New Roman"/>
          <w:sz w:val="28"/>
          <w:szCs w:val="24"/>
        </w:rPr>
        <w:t>Avalonia UI Limited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включає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обов’язкові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положення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Міжнародної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організація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стандартизації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(ISO).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актуальних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97B67" w:rsidRPr="00C76317">
        <w:rPr>
          <w:rFonts w:ascii="Times New Roman" w:eastAsia="Times New Roman" w:hAnsi="Times New Roman" w:cs="Times New Roman"/>
          <w:sz w:val="28"/>
          <w:szCs w:val="24"/>
        </w:rPr>
        <w:t xml:space="preserve">Avalonia UI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положення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доповнюватись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змінюватись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4839B65" w14:textId="77777777" w:rsidR="001E7E69" w:rsidRDefault="001E7E69" w:rsidP="001E7E69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положення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включають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основний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стандартизований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комплексів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допоміжні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документування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конфігурацією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верифікації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атестації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спільного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аудиту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усунення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дефектів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Організаційні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інфраструктури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визначатися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фахівцем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початку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кожного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проекту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7ED3F3E" w14:textId="77777777" w:rsidR="001E7E69" w:rsidRDefault="001E7E69" w:rsidP="001E7E69">
      <w:pPr>
        <w:pStyle w:val="ListParagraph"/>
        <w:numPr>
          <w:ilvl w:val="0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Організаційні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супроводженню</w:t>
      </w:r>
      <w:proofErr w:type="spellEnd"/>
    </w:p>
    <w:p w14:paraId="23A0074A" w14:textId="77777777" w:rsidR="001E7E69" w:rsidRDefault="001E7E69" w:rsidP="001E7E69">
      <w:pPr>
        <w:pStyle w:val="ListParagraph"/>
        <w:numPr>
          <w:ilvl w:val="1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Ролі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обов’язки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супроводжувача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поставки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продукту</w:t>
      </w:r>
      <w:proofErr w:type="spellEnd"/>
    </w:p>
    <w:p w14:paraId="4D446C96" w14:textId="77777777" w:rsidR="001E7E69" w:rsidRDefault="001E7E69" w:rsidP="001E7E69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Супроводжувач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підпорядковується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безпосередньо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менеджеру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технічної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підтримки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(Tech Support Manager).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разом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персоналом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відділу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персоналом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технічної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підтримки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кінцевими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користувачами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швидкі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ефективні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проблем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5069400" w14:textId="77777777" w:rsidR="001E7E69" w:rsidRDefault="001E7E69" w:rsidP="001E7E69">
      <w:pPr>
        <w:pStyle w:val="ListParagraph"/>
        <w:spacing w:line="276" w:lineRule="auto"/>
        <w:ind w:left="792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обов’язків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входить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7868B836" w14:textId="77777777" w:rsidR="001E7E69" w:rsidRDefault="001E7E69" w:rsidP="001E7E69">
      <w:pPr>
        <w:pStyle w:val="ListParagraph"/>
        <w:numPr>
          <w:ilvl w:val="0"/>
          <w:numId w:val="26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Обробка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багів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пов’язаних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646FE541" w14:textId="77777777" w:rsidR="001E7E69" w:rsidRDefault="001E7E69" w:rsidP="001E7E69">
      <w:pPr>
        <w:pStyle w:val="ListParagraph"/>
        <w:numPr>
          <w:ilvl w:val="0"/>
          <w:numId w:val="26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пріоритетність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нового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функціоналу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33BACF59" w14:textId="77777777" w:rsidR="001E7E69" w:rsidRDefault="001E7E69" w:rsidP="001E7E69">
      <w:pPr>
        <w:pStyle w:val="ListParagraph"/>
        <w:numPr>
          <w:ilvl w:val="0"/>
          <w:numId w:val="26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передаються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команді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20B14FEB" w14:textId="77777777" w:rsidR="001E7E69" w:rsidRDefault="001E7E69" w:rsidP="001E7E69">
      <w:pPr>
        <w:pStyle w:val="ListParagraph"/>
        <w:numPr>
          <w:ilvl w:val="0"/>
          <w:numId w:val="26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Пошук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приймати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обмеженою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інформативністю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),</w:t>
      </w:r>
    </w:p>
    <w:p w14:paraId="4D53A1E4" w14:textId="77777777" w:rsidR="001E7E69" w:rsidRDefault="001E7E69" w:rsidP="001E7E69">
      <w:pPr>
        <w:pStyle w:val="ListParagraph"/>
        <w:numPr>
          <w:ilvl w:val="0"/>
          <w:numId w:val="26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проблеми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пов’язані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1C769886" w14:textId="77777777" w:rsidR="001E7E69" w:rsidRDefault="001E7E69" w:rsidP="001E7E69">
      <w:pPr>
        <w:pStyle w:val="ListParagraph"/>
        <w:numPr>
          <w:ilvl w:val="0"/>
          <w:numId w:val="26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Усунення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несправностей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основних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проблем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0CC6075A" w14:textId="77777777" w:rsidR="001E7E69" w:rsidRDefault="001E7E69" w:rsidP="001E7E69">
      <w:pPr>
        <w:pStyle w:val="ListParagraph"/>
        <w:numPr>
          <w:ilvl w:val="0"/>
          <w:numId w:val="26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перед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впровадженням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2414C3CA" w14:textId="77777777" w:rsidR="001E7E69" w:rsidRDefault="001E7E69" w:rsidP="001E7E69">
      <w:pPr>
        <w:pStyle w:val="ListParagraph"/>
        <w:numPr>
          <w:ilvl w:val="0"/>
          <w:numId w:val="26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Ретельно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точно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вчасно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документувати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діяльність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підтримки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4BA7E9C9" w14:textId="77777777" w:rsidR="001E7E69" w:rsidRDefault="001E7E69" w:rsidP="001E7E69">
      <w:pPr>
        <w:pStyle w:val="ListParagraph"/>
        <w:numPr>
          <w:ilvl w:val="0"/>
          <w:numId w:val="26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команда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проводить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валідацію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верифікацію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03C08FDA" w14:textId="77777777" w:rsidR="001E7E69" w:rsidRDefault="001E7E69" w:rsidP="001E7E69">
      <w:pPr>
        <w:pStyle w:val="ListParagraph"/>
        <w:numPr>
          <w:ilvl w:val="0"/>
          <w:numId w:val="26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реєструвати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відгуки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клієнтів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метою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вдосконалення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0D5B4AC8" w14:textId="77777777" w:rsidR="001E7E69" w:rsidRDefault="001E7E69" w:rsidP="001E7E69">
      <w:pPr>
        <w:pStyle w:val="ListParagraph"/>
        <w:numPr>
          <w:ilvl w:val="0"/>
          <w:numId w:val="26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Періодично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переглядайти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робочий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журнал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відгуки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клієнтів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керівником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аналітиками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технічними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спеціалістами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застосувати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можливості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вдосконалення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250910F" w14:textId="77777777" w:rsidR="001E7E69" w:rsidRDefault="001E7E69" w:rsidP="001E7E69">
      <w:pPr>
        <w:pStyle w:val="ListParagraph"/>
        <w:numPr>
          <w:ilvl w:val="2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</w:p>
    <w:p w14:paraId="67D99AFA" w14:textId="77777777" w:rsidR="001E7E69" w:rsidRDefault="001E7E69" w:rsidP="001E7E69">
      <w:pPr>
        <w:pStyle w:val="ListParagraph"/>
        <w:spacing w:line="276" w:lineRule="auto"/>
        <w:ind w:left="1224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підтримки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сприятливі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надання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допомоги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основним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процесам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створюють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цінність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шляхом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надання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ресурсів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інфраструктури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необхідних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основних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пріоретизація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Виявлені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баги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майбутньому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передаються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команді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котра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свою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чергу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вносить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веде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документацію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Перед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впровадженням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провести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попереднє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валідацію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верифікацію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21B614F" w14:textId="77777777" w:rsidR="001E7E69" w:rsidRDefault="001E7E69" w:rsidP="001E7E69">
      <w:pPr>
        <w:pStyle w:val="ListParagraph"/>
        <w:numPr>
          <w:ilvl w:val="2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інфраструктури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</w:p>
    <w:p w14:paraId="787B4E24" w14:textId="0D0C85F0" w:rsidR="001E7E69" w:rsidRDefault="001E7E69" w:rsidP="00024730">
      <w:pPr>
        <w:pStyle w:val="ListParagraph"/>
        <w:spacing w:line="276" w:lineRule="auto"/>
        <w:ind w:left="1224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Інфраструктура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процедур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вказівок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визначають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виконуватися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робота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проектами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D71B044" w14:textId="77777777" w:rsidR="001E7E69" w:rsidRDefault="001E7E69" w:rsidP="001E7E69">
      <w:pPr>
        <w:pStyle w:val="ListParagraph"/>
        <w:numPr>
          <w:ilvl w:val="2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навчання</w:t>
      </w:r>
      <w:proofErr w:type="spellEnd"/>
    </w:p>
    <w:p w14:paraId="7D83FDD6" w14:textId="77777777" w:rsidR="001E7E69" w:rsidRDefault="001E7E69" w:rsidP="001E7E69">
      <w:pPr>
        <w:pStyle w:val="ListParagraph"/>
        <w:spacing w:line="276" w:lineRule="auto"/>
        <w:ind w:left="1224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персоналу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передбачено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етапі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BADF27A" w14:textId="77777777" w:rsidR="001E7E69" w:rsidRDefault="001E7E69" w:rsidP="001E7E69">
      <w:pPr>
        <w:pStyle w:val="ListParagraph"/>
        <w:numPr>
          <w:ilvl w:val="2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</w:p>
    <w:p w14:paraId="6B3C1659" w14:textId="77777777" w:rsidR="001E7E69" w:rsidRDefault="001E7E69" w:rsidP="001E7E69">
      <w:pPr>
        <w:pStyle w:val="ListParagraph"/>
        <w:numPr>
          <w:ilvl w:val="1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Ролі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обов’язки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супроводжувача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поставки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продукту</w:t>
      </w:r>
      <w:proofErr w:type="spellEnd"/>
    </w:p>
    <w:p w14:paraId="7B3240FA" w14:textId="77777777" w:rsidR="001E7E69" w:rsidRDefault="001E7E69" w:rsidP="001E7E69">
      <w:pPr>
        <w:pStyle w:val="ListParagraph"/>
        <w:numPr>
          <w:ilvl w:val="2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процесу</w:t>
      </w:r>
      <w:proofErr w:type="spellEnd"/>
    </w:p>
    <w:p w14:paraId="51F39F58" w14:textId="77777777" w:rsidR="001E7E69" w:rsidRDefault="001E7E69" w:rsidP="001E7E69">
      <w:pPr>
        <w:pStyle w:val="ListParagraph"/>
        <w:spacing w:line="276" w:lineRule="auto"/>
        <w:ind w:left="1224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ініціалізація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майбутньої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продукту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Команда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отримує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запити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пов’язані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програмним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A34DBCC" w14:textId="77777777" w:rsidR="001E7E69" w:rsidRDefault="001E7E69" w:rsidP="001E7E69">
      <w:pPr>
        <w:pStyle w:val="ListParagraph"/>
        <w:numPr>
          <w:ilvl w:val="2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проблем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модифікацій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28E0D902" w14:textId="77777777" w:rsidR="001E7E69" w:rsidRDefault="001E7E69" w:rsidP="001E7E69">
      <w:pPr>
        <w:pStyle w:val="ListParagraph"/>
        <w:spacing w:line="276" w:lineRule="auto"/>
        <w:ind w:left="1224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час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модифікацій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команда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виконує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виконує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багів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визначає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пріоритетність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передає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даний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запит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команді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розробників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Команда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аналізує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проблему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4F1E888" w14:textId="77777777" w:rsidR="001E7E69" w:rsidRDefault="001E7E69" w:rsidP="001E7E69">
      <w:pPr>
        <w:pStyle w:val="ListParagraph"/>
        <w:numPr>
          <w:ilvl w:val="2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модифікацій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5F729C32" w14:textId="77777777" w:rsidR="001E7E69" w:rsidRDefault="001E7E69" w:rsidP="001E7E69">
      <w:pPr>
        <w:pStyle w:val="ListParagraph"/>
        <w:spacing w:line="276" w:lineRule="auto"/>
        <w:ind w:left="1224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час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модифікацій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виконують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свої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обов’язки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Команда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створює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функціонал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виправляє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знайдену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проблему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проводить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попереднє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внесених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функціоналу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створює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документацію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передає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запит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команді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Команда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проводить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валідацію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верифікацію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ADF0E7E" w14:textId="77777777" w:rsidR="001E7E69" w:rsidRDefault="001E7E69" w:rsidP="001E7E69">
      <w:pPr>
        <w:pStyle w:val="ListParagraph"/>
        <w:numPr>
          <w:ilvl w:val="2"/>
          <w:numId w:val="23"/>
        </w:num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Перенесення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нове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середовище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16ED013" w14:textId="77777777" w:rsidR="00024730" w:rsidRDefault="001E7E69" w:rsidP="00024730">
      <w:pPr>
        <w:pStyle w:val="ListParagraph"/>
        <w:spacing w:line="276" w:lineRule="auto"/>
        <w:ind w:left="1224"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Адаптований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продукт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повинен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бути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випущений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2473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як плагін для </w:t>
      </w:r>
      <w:r w:rsidR="00024730">
        <w:rPr>
          <w:rFonts w:ascii="Times New Roman" w:eastAsia="Times New Roman" w:hAnsi="Times New Roman" w:cs="Times New Roman"/>
          <w:sz w:val="28"/>
          <w:szCs w:val="24"/>
        </w:rPr>
        <w:t xml:space="preserve">Visual Code </w:t>
      </w:r>
      <w:r w:rsidR="00024730">
        <w:rPr>
          <w:rFonts w:ascii="Times New Roman" w:eastAsia="Times New Roman" w:hAnsi="Times New Roman" w:cs="Times New Roman"/>
          <w:sz w:val="28"/>
          <w:szCs w:val="24"/>
          <w:lang w:val="uk-UA"/>
        </w:rPr>
        <w:t>та інших</w:t>
      </w:r>
      <w:r w:rsidR="0002473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2473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популярних </w:t>
      </w:r>
      <w:r w:rsidR="00024730">
        <w:rPr>
          <w:rFonts w:ascii="Times New Roman" w:eastAsia="Times New Roman" w:hAnsi="Times New Roman" w:cs="Times New Roman"/>
          <w:sz w:val="28"/>
          <w:szCs w:val="24"/>
        </w:rPr>
        <w:t>IDE.</w:t>
      </w:r>
    </w:p>
    <w:p w14:paraId="1E1DF159" w14:textId="3DF6FDEF" w:rsidR="00024730" w:rsidRPr="00024730" w:rsidRDefault="00024730" w:rsidP="00024730">
      <w:pPr>
        <w:pStyle w:val="ListParagraph"/>
        <w:spacing w:line="276" w:lineRule="auto"/>
        <w:ind w:left="0" w:right="461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24730">
        <w:rPr>
          <w:rFonts w:ascii="Times New Roman" w:hAnsi="Times New Roman" w:cs="Times New Roman"/>
          <w:b/>
          <w:sz w:val="28"/>
          <w:szCs w:val="28"/>
          <w:lang w:val="uk-UA"/>
        </w:rPr>
        <w:t>Можливі запити на зміну програмного забезпечення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2154"/>
        <w:gridCol w:w="4410"/>
        <w:gridCol w:w="2390"/>
      </w:tblGrid>
      <w:tr w:rsidR="00024730" w14:paraId="3F73ACA1" w14:textId="77777777" w:rsidTr="009C4B6C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B4B94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№ п/п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F6720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Джерело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запиту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2401DB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запиту</w:t>
            </w:r>
            <w:proofErr w:type="spellEnd"/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67F01F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Категорія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024730" w14:paraId="588C6808" w14:textId="77777777" w:rsidTr="009C4B6C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6E62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93E4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Розробник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A06B" w14:textId="77777777" w:rsidR="00024730" w:rsidRPr="00C457D2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 xml:space="preserve">Оптимізація або повний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рефакторинг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 xml:space="preserve"> навігаційної логіки програмного продукту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F5D2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Коригувальне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024730" w14:paraId="3A73C031" w14:textId="77777777" w:rsidTr="009C4B6C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E6BB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35605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Користувач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DF99" w14:textId="77777777" w:rsidR="00024730" w:rsidRPr="00C457D2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Фікс програмних збоїв у процесі навігації або та очікуванні запитів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CBFF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Коригувальне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024730" w14:paraId="545F5009" w14:textId="77777777" w:rsidTr="009C4B6C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E761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23F9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Розробник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AF9F" w14:textId="77777777" w:rsidR="00024730" w:rsidRPr="005151B7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 xml:space="preserve">Зміна засобу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відоображення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UI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для користувачів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2806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Адаптивне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024730" w14:paraId="6D99449F" w14:textId="77777777" w:rsidTr="009C4B6C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4BA6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4.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0C19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Користувач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1164" w14:textId="77777777" w:rsidR="00024730" w:rsidRPr="005151B7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Адаптація програмного продукту на крос-платформному рівні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2244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Адаптивне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024730" w14:paraId="2182C78C" w14:textId="77777777" w:rsidTr="009C4B6C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A7143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E796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Розробник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53F0" w14:textId="77777777" w:rsidR="00024730" w:rsidRPr="005151B7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Оптимізація процесу використання системних інструментів та створення нових для покращення досвіду роботи з програмним продуктом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EDFD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Перфективне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024730" w14:paraId="3F135C3B" w14:textId="77777777" w:rsidTr="009C4B6C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0806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6.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9091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Розробник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E1F9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Пошук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нових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алгоритмів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підходів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керування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життєвим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циклом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для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нових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гібридних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ІТ 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B206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Перфективне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024730" w14:paraId="4F16B0EC" w14:textId="77777777" w:rsidTr="009C4B6C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2B48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7.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5FEB" w14:textId="77777777" w:rsidR="00024730" w:rsidRPr="005151B7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Користувач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9063" w14:textId="77777777" w:rsidR="00024730" w:rsidRPr="005151B7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Написання нових та оновлення старої документації та навчальних ресурсів для клієнтів ПП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13E2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Профілактичне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  <w:tr w:rsidR="00024730" w14:paraId="4AB2CFBD" w14:textId="77777777" w:rsidTr="009C4B6C">
        <w:trPr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362F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8.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8ADB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Розробник</w:t>
            </w:r>
            <w:proofErr w:type="spellEnd"/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CEF8" w14:textId="77777777" w:rsidR="00024730" w:rsidRPr="005151B7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/>
              </w:rPr>
              <w:t>Піднесення основних програмованих частин до загальноприйнятого стандарту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F102" w14:textId="77777777" w:rsidR="00024730" w:rsidRDefault="00024730" w:rsidP="009C4B6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Профілактичне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супроводження</w:t>
            </w:r>
            <w:proofErr w:type="spellEnd"/>
          </w:p>
        </w:tc>
      </w:tr>
    </w:tbl>
    <w:p w14:paraId="0C9FF0FA" w14:textId="77777777" w:rsidR="00024730" w:rsidRDefault="00024730" w:rsidP="00024730">
      <w:pPr>
        <w:spacing w:line="276" w:lineRule="auto"/>
        <w:ind w:right="461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Показники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супроводжуваності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забезпечення</w:t>
      </w:r>
      <w:proofErr w:type="spellEnd"/>
    </w:p>
    <w:p w14:paraId="4F037ED4" w14:textId="06486AAD" w:rsidR="00A80A0F" w:rsidRDefault="00A80A0F" w:rsidP="00A80A0F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Тип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проекту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напівзалежний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3310FF8" w14:textId="1B3E7773" w:rsidR="00C54474" w:rsidRPr="00C54474" w:rsidRDefault="00C54474" w:rsidP="00A80A0F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Загальна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строк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7</w:t>
      </w:r>
      <w:r>
        <w:rPr>
          <w:rFonts w:ascii="Times New Roman" w:eastAsia="Times New Roman" w:hAnsi="Times New Roman" w:cs="Times New Roman"/>
          <w:sz w:val="28"/>
          <w:szCs w:val="24"/>
        </w:rPr>
        <w:t>5 00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0</w:t>
      </w:r>
    </w:p>
    <w:p w14:paraId="7702D587" w14:textId="32C3E0DD" w:rsidR="00C54474" w:rsidRPr="00C54474" w:rsidRDefault="00C54474" w:rsidP="00A80A0F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Загальна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строк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внесених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81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900</w:t>
      </w:r>
    </w:p>
    <w:p w14:paraId="55474036" w14:textId="32FC95AC" w:rsidR="004E1125" w:rsidRDefault="00A80A0F" w:rsidP="00A80A0F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доданих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строк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Pr="00A80A0F">
        <w:rPr>
          <w:rFonts w:ascii="Times New Roman" w:eastAsia="Times New Roman" w:hAnsi="Times New Roman" w:cs="Times New Roman"/>
          <w:sz w:val="28"/>
          <w:szCs w:val="24"/>
        </w:rPr>
        <w:t>6,</w:t>
      </w:r>
      <w:r w:rsidR="00C54474">
        <w:rPr>
          <w:rFonts w:ascii="Times New Roman" w:eastAsia="Times New Roman" w:hAnsi="Times New Roman" w:cs="Times New Roman"/>
          <w:sz w:val="28"/>
          <w:szCs w:val="24"/>
        </w:rPr>
        <w:t>900</w:t>
      </w:r>
    </w:p>
    <w:p w14:paraId="637B2905" w14:textId="317578E3" w:rsidR="00A80A0F" w:rsidRDefault="00A80A0F" w:rsidP="00A80A0F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модифікованих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строк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4E1125" w:rsidRPr="004E1125">
        <w:rPr>
          <w:rFonts w:ascii="Times New Roman" w:eastAsia="Times New Roman" w:hAnsi="Times New Roman" w:cs="Times New Roman"/>
          <w:sz w:val="28"/>
          <w:szCs w:val="24"/>
        </w:rPr>
        <w:t>2,</w:t>
      </w:r>
      <w:r w:rsidR="00C54474">
        <w:rPr>
          <w:rFonts w:ascii="Times New Roman" w:eastAsia="Times New Roman" w:hAnsi="Times New Roman" w:cs="Times New Roman"/>
          <w:sz w:val="28"/>
          <w:szCs w:val="24"/>
        </w:rPr>
        <w:t>400</w:t>
      </w:r>
    </w:p>
    <w:p w14:paraId="06E18541" w14:textId="78707C5F" w:rsidR="00A80A0F" w:rsidRPr="004E1125" w:rsidRDefault="00A80A0F" w:rsidP="00A80A0F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строк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коду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годину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4E1125">
        <w:rPr>
          <w:rFonts w:ascii="Times New Roman" w:eastAsia="Times New Roman" w:hAnsi="Times New Roman" w:cs="Times New Roman"/>
          <w:sz w:val="28"/>
          <w:szCs w:val="24"/>
          <w:lang w:val="uk-UA"/>
        </w:rPr>
        <w:t>6</w:t>
      </w:r>
      <w:r w:rsidR="00934CF3">
        <w:rPr>
          <w:rFonts w:ascii="Times New Roman" w:eastAsia="Times New Roman" w:hAnsi="Times New Roman" w:cs="Times New Roman"/>
          <w:sz w:val="28"/>
          <w:szCs w:val="24"/>
          <w:lang w:val="uk-UA"/>
        </w:rPr>
        <w:t>6</w:t>
      </w:r>
    </w:p>
    <w:p w14:paraId="14C1B953" w14:textId="77777777" w:rsidR="00A80A0F" w:rsidRDefault="00A80A0F" w:rsidP="00A80A0F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вартості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COCOMO</w:t>
      </w:r>
    </w:p>
    <w:p w14:paraId="66EF6D28" w14:textId="77777777" w:rsidR="00A80A0F" w:rsidRDefault="00A80A0F" w:rsidP="00A80A0F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проект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напівзалежний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базовими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коефіцієнтами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є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14:paraId="0A3B86BA" w14:textId="77777777" w:rsidR="00A80A0F" w:rsidRDefault="0045596F" w:rsidP="00A80A0F">
      <w:pPr>
        <w:spacing w:line="276" w:lineRule="auto"/>
        <w:ind w:right="461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val="ru-RU"/>
            </w:rPr>
            <m:t xml:space="preserve">=3.0,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=1.12,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=2.5,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=0.35</m:t>
          </m:r>
        </m:oMath>
      </m:oMathPara>
    </w:p>
    <w:p w14:paraId="442716F8" w14:textId="2325620C" w:rsidR="004E1125" w:rsidRDefault="004E1125" w:rsidP="004E1125">
      <w:pPr>
        <w:spacing w:line="276" w:lineRule="auto"/>
        <w:ind w:right="461"/>
        <w:rPr>
          <w:rFonts w:ascii="Times New Roman" w:eastAsia="Times New Roman" w:hAnsi="Times New Roman" w:cs="Times New Roman"/>
          <w:i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Трудоємність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PM=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KLOC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b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4"/>
          </w:rPr>
          <m:t>=3 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ru-RU"/>
              </w:rPr>
              <m:t>345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val="ru-RU"/>
              </w:rPr>
              <m:t>1.12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val="ru-RU"/>
          </w:rPr>
          <m:t>≈3∙</m:t>
        </m:r>
        <m:r>
          <w:rPr>
            <w:rFonts w:ascii="Cambria Math" w:eastAsia="Times New Roman" w:hAnsi="Cambria Math" w:cs="Times New Roman"/>
            <w:sz w:val="28"/>
            <w:szCs w:val="24"/>
            <w:lang w:val="ru-RU"/>
          </w:rPr>
          <m:t>125.91</m:t>
        </m:r>
        <m:r>
          <w:rPr>
            <w:rFonts w:ascii="Cambria Math" w:eastAsia="Times New Roman" w:hAnsi="Cambria Math" w:cs="Times New Roman"/>
            <w:sz w:val="28"/>
            <w:szCs w:val="24"/>
            <w:lang w:val="ru-RU"/>
          </w:rPr>
          <m:t>≈</m:t>
        </m:r>
        <m:r>
          <w:rPr>
            <w:rFonts w:ascii="Cambria Math" w:eastAsia="Times New Roman" w:hAnsi="Cambria Math" w:cs="Times New Roman"/>
            <w:sz w:val="28"/>
            <w:szCs w:val="24"/>
            <w:lang w:val="ru-RU"/>
          </w:rPr>
          <m:t>378</m:t>
        </m:r>
      </m:oMath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людино-місяців</w:t>
      </w:r>
      <w:proofErr w:type="spellEnd"/>
    </w:p>
    <w:p w14:paraId="2AA8F067" w14:textId="599DFE6C" w:rsidR="004E1125" w:rsidRDefault="004E1125" w:rsidP="004E1125">
      <w:pPr>
        <w:spacing w:line="276" w:lineRule="auto"/>
        <w:ind w:right="461"/>
        <w:rPr>
          <w:rFonts w:ascii="Times New Roman" w:eastAsia="Times New Roman" w:hAnsi="Times New Roman" w:cs="Times New Roman"/>
          <w:i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Термін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dev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PM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b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4"/>
          </w:rPr>
          <m:t>=2.5∙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ru-RU"/>
              </w:rPr>
              <m:t>378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0.35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val="ru-RU"/>
          </w:rPr>
          <m:t>≈2.5</m:t>
        </m:r>
        <m:r>
          <w:rPr>
            <w:rFonts w:ascii="Cambria Math" w:eastAsia="Times New Roman" w:hAnsi="Cambria Math" w:cs="Times New Roman"/>
            <w:sz w:val="28"/>
            <w:szCs w:val="24"/>
          </w:rPr>
          <m:t>∙ 7</m:t>
        </m:r>
        <m:r>
          <w:rPr>
            <w:rFonts w:ascii="Cambria Math" w:eastAsia="Times New Roman" w:hAnsi="Cambria Math" w:cs="Times New Roman"/>
            <w:sz w:val="28"/>
            <w:szCs w:val="24"/>
          </w:rPr>
          <m:t>.98</m:t>
        </m:r>
        <m:r>
          <w:rPr>
            <w:rFonts w:ascii="Cambria Math" w:eastAsia="Times New Roman" w:hAnsi="Cambria Math" w:cs="Times New Roman"/>
            <w:sz w:val="28"/>
            <w:szCs w:val="24"/>
            <w:lang w:val="ru-RU"/>
          </w:rPr>
          <m:t>≈</m:t>
        </m:r>
        <m:r>
          <w:rPr>
            <w:rFonts w:ascii="Cambria Math" w:eastAsia="Times New Roman" w:hAnsi="Cambria Math" w:cs="Times New Roman"/>
            <w:sz w:val="28"/>
            <w:szCs w:val="24"/>
            <w:lang w:val="ru-RU"/>
          </w:rPr>
          <m:t>20</m:t>
        </m:r>
      </m:oMath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місяців</w:t>
      </w:r>
      <w:proofErr w:type="spellEnd"/>
    </w:p>
    <w:p w14:paraId="2E1B5DC2" w14:textId="1D739F98" w:rsidR="004E1125" w:rsidRDefault="004E1125" w:rsidP="004E1125">
      <w:pPr>
        <w:spacing w:line="276" w:lineRule="auto"/>
        <w:ind w:right="461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N=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PM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dev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378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20</m:t>
            </m:r>
          </m:den>
        </m:f>
        <m:r>
          <w:rPr>
            <w:rFonts w:ascii="Cambria Math" w:eastAsia="Times New Roman" w:hAnsi="Cambria Math" w:cs="Times New Roman"/>
            <w:sz w:val="28"/>
            <w:szCs w:val="24"/>
            <w:lang w:val="ru-RU"/>
          </w:rPr>
          <m:t>≈</m:t>
        </m:r>
        <m:r>
          <w:rPr>
            <w:rFonts w:ascii="Cambria Math" w:eastAsia="Times New Roman" w:hAnsi="Cambria Math" w:cs="Times New Roman"/>
            <w:sz w:val="28"/>
            <w:szCs w:val="24"/>
            <w:lang w:val="ru-RU"/>
          </w:rPr>
          <m:t>19</m:t>
        </m:r>
      </m:oMath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людей</w:t>
      </w:r>
    </w:p>
    <w:p w14:paraId="6AE8BA1C" w14:textId="77777777" w:rsidR="004E1125" w:rsidRDefault="004E1125" w:rsidP="004E1125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Атрибути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продукту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EAF=</m:t>
        </m:r>
        <m:nary>
          <m:naryPr>
            <m:chr m:val="∏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15</m:t>
            </m:r>
          </m:sup>
          <m:e/>
        </m:nary>
        <m:r>
          <w:rPr>
            <w:rFonts w:ascii="Cambria Math" w:eastAsia="Times New Roman" w:hAnsi="Cambria Math" w:cs="Times New Roman"/>
            <w:sz w:val="28"/>
            <w:szCs w:val="24"/>
            <w:lang w:val="ru-RU"/>
          </w:rPr>
          <m:t>i-атрибути=1.40</m:t>
        </m:r>
        <m:r>
          <w:rPr>
            <w:rFonts w:ascii="Cambria Math" w:eastAsia="Times New Roman" w:hAnsi="Cambria Math" w:cs="Times New Roman"/>
            <w:sz w:val="28"/>
            <w:szCs w:val="24"/>
          </w:rPr>
          <m:t xml:space="preserve">∙1.16∙1.00∙1.00∙1.21∙1.30∙0.87∙0.71∙0.82∙0.86∙0.90∙0.95∙0.91∙1.00∙1.04=0.9 </m:t>
        </m:r>
      </m:oMath>
    </w:p>
    <w:p w14:paraId="7D38ADD1" w14:textId="77777777" w:rsidR="004E1125" w:rsidRDefault="004E1125" w:rsidP="004E1125">
      <w:pPr>
        <w:spacing w:line="276" w:lineRule="auto"/>
        <w:ind w:right="461"/>
        <w:rPr>
          <w:rFonts w:ascii="Times New Roman" w:eastAsia="Times New Roman" w:hAnsi="Times New Roman" w:cs="Times New Roman"/>
          <w:i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</w:rPr>
        <w:t>Результатом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</w:rPr>
        <w:t>добутку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</w:rPr>
        <w:t>множників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</w:rPr>
        <w:t>зусиль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</w:rPr>
        <w:t>атрибутів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) є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</w:rPr>
        <w:t>коефіцієнт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</w:rPr>
        <w:t>коригування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4"/>
        </w:rPr>
        <w:t>зусиль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4"/>
        </w:rPr>
        <w:t>.</w:t>
      </w:r>
    </w:p>
    <w:p w14:paraId="02712FA1" w14:textId="6113D86B" w:rsidR="004E1125" w:rsidRDefault="004E1125" w:rsidP="004E1125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Середня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трудоємності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PM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DEV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=PM∙EAF=</m:t>
        </m:r>
        <m:r>
          <w:rPr>
            <w:rFonts w:ascii="Cambria Math" w:eastAsia="Times New Roman" w:hAnsi="Cambria Math" w:cs="Times New Roman"/>
            <w:sz w:val="28"/>
            <w:szCs w:val="24"/>
            <w:lang w:val="ru-RU"/>
          </w:rPr>
          <m:t>378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4"/>
          </w:rPr>
          <m:t>∙0.9=</m:t>
        </m:r>
        <m:r>
          <w:rPr>
            <w:rFonts w:ascii="Cambria Math" w:eastAsia="Times New Roman" w:hAnsi="Cambria Math" w:cs="Times New Roman"/>
            <w:sz w:val="28"/>
            <w:szCs w:val="24"/>
          </w:rPr>
          <m:t>340.2</m:t>
        </m:r>
        <m:r>
          <w:rPr>
            <w:rFonts w:ascii="Cambria Math" w:eastAsia="Times New Roman" w:hAnsi="Cambria Math" w:cs="Times New Roman"/>
            <w:sz w:val="28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4"/>
        </w:rPr>
        <w:t>людино-місяців</w:t>
      </w:r>
    </w:p>
    <w:p w14:paraId="4B3CDAFA" w14:textId="1E510C20" w:rsidR="004E1125" w:rsidRDefault="004E1125" w:rsidP="004E1125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необхідних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N=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LOC (що будуть підтримуватись)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LOC (розробником за годину)</m:t>
            </m:r>
          </m:den>
        </m:f>
        <m:r>
          <w:rPr>
            <w:rFonts w:ascii="Cambria Math" w:eastAsia="Times New Roman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val="ru-RU"/>
              </w:rPr>
              <m:t>9300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66</m:t>
            </m:r>
          </m:den>
        </m:f>
        <m:r>
          <w:rPr>
            <w:rFonts w:ascii="Cambria Math" w:eastAsia="Times New Roman" w:hAnsi="Cambria Math" w:cs="Times New Roman"/>
            <w:sz w:val="28"/>
            <w:szCs w:val="24"/>
          </w:rPr>
          <m:t>≈</m:t>
        </m:r>
        <m:r>
          <w:rPr>
            <w:rFonts w:ascii="Cambria Math" w:eastAsia="Times New Roman" w:hAnsi="Cambria Math" w:cs="Times New Roman"/>
            <w:sz w:val="28"/>
            <w:szCs w:val="24"/>
          </w:rPr>
          <m:t>141</m:t>
        </m:r>
      </m:oMath>
      <w:r>
        <w:rPr>
          <w:rFonts w:ascii="Times New Roman" w:eastAsia="Times New Roman" w:hAnsi="Times New Roman" w:cs="Times New Roman"/>
          <w:sz w:val="28"/>
          <w:szCs w:val="24"/>
        </w:rPr>
        <w:t xml:space="preserve"> людей</w:t>
      </w:r>
    </w:p>
    <w:p w14:paraId="11575783" w14:textId="77777777" w:rsidR="00934CF3" w:rsidRDefault="00934CF3" w:rsidP="00934CF3">
      <w:pPr>
        <w:spacing w:line="276" w:lineRule="auto"/>
        <w:ind w:right="461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Оцінка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вартості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Б.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Бемом</w:t>
      </w:r>
      <w:proofErr w:type="spellEnd"/>
    </w:p>
    <w:p w14:paraId="5EC508F1" w14:textId="496E70E7" w:rsidR="00934CF3" w:rsidRDefault="00934CF3" w:rsidP="00934CF3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Річний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трафік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ACT=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KLOC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доданих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KLOC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змінених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KLOC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загальна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6,9</m:t>
            </m:r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+</m:t>
            </m:r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2,4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75</m:t>
            </m:r>
          </m:den>
        </m:f>
        <m:r>
          <w:rPr>
            <w:rFonts w:ascii="Cambria Math" w:eastAsia="Times New Roman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9,3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75</m:t>
            </m:r>
          </m:den>
        </m:f>
        <m:r>
          <w:rPr>
            <w:rFonts w:ascii="Cambria Math" w:eastAsia="Times New Roman" w:hAnsi="Cambria Math" w:cs="Times New Roman"/>
            <w:sz w:val="28"/>
            <w:szCs w:val="24"/>
          </w:rPr>
          <m:t>≈0.</m:t>
        </m:r>
        <m:r>
          <w:rPr>
            <w:rFonts w:ascii="Cambria Math" w:eastAsia="Times New Roman" w:hAnsi="Cambria Math" w:cs="Times New Roman"/>
            <w:sz w:val="28"/>
            <w:szCs w:val="24"/>
          </w:rPr>
          <m:t>124</m:t>
        </m:r>
      </m:oMath>
    </w:p>
    <w:p w14:paraId="47F4E2E9" w14:textId="7E585DAE" w:rsidR="00934CF3" w:rsidRDefault="00934CF3" w:rsidP="00934CF3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Перший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PM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AM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=ACT∙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PM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DEV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=0.</m:t>
        </m:r>
        <m:r>
          <w:rPr>
            <w:rFonts w:ascii="Cambria Math" w:eastAsia="Times New Roman" w:hAnsi="Cambria Math" w:cs="Times New Roman"/>
            <w:sz w:val="28"/>
            <w:szCs w:val="24"/>
          </w:rPr>
          <m:t>124</m:t>
        </m:r>
        <m:r>
          <w:rPr>
            <w:rFonts w:ascii="Cambria Math" w:eastAsia="Times New Roman" w:hAnsi="Cambria Math" w:cs="Times New Roman"/>
            <w:sz w:val="28"/>
            <w:szCs w:val="24"/>
          </w:rPr>
          <m:t>∙340.2≈</m:t>
        </m:r>
        <m:r>
          <w:rPr>
            <w:rFonts w:ascii="Cambria Math" w:eastAsia="Times New Roman" w:hAnsi="Cambria Math" w:cs="Times New Roman"/>
            <w:sz w:val="28"/>
            <w:szCs w:val="24"/>
          </w:rPr>
          <m:t>42.2</m:t>
        </m:r>
      </m:oMath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br/>
        <w:t>людино-місяців</w:t>
      </w:r>
    </w:p>
    <w:p w14:paraId="0DA11C90" w14:textId="1EE6BED0" w:rsidR="00455491" w:rsidRPr="00934CF3" w:rsidRDefault="00934CF3" w:rsidP="00934CF3">
      <w:pPr>
        <w:spacing w:line="276" w:lineRule="auto"/>
        <w:ind w:right="461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Другий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моделі</w:t>
      </w:r>
      <w:proofErr w:type="spell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PM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AM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=ACT∙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PM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DEV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EAF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</w:rPr>
          <m:t>=0.</m:t>
        </m:r>
        <m:r>
          <w:rPr>
            <w:rFonts w:ascii="Cambria Math" w:eastAsia="Times New Roman" w:hAnsi="Cambria Math" w:cs="Times New Roman"/>
            <w:sz w:val="28"/>
            <w:szCs w:val="24"/>
          </w:rPr>
          <m:t>124</m:t>
        </m:r>
        <m:r>
          <w:rPr>
            <w:rFonts w:ascii="Cambria Math" w:eastAsia="Times New Roman" w:hAnsi="Cambria Math" w:cs="Times New Roman"/>
            <w:sz w:val="28"/>
            <w:szCs w:val="24"/>
          </w:rPr>
          <m:t>∙340.2∙0.9≈</m:t>
        </m:r>
        <m:r>
          <w:rPr>
            <w:rFonts w:ascii="Cambria Math" w:eastAsia="Times New Roman" w:hAnsi="Cambria Math" w:cs="Times New Roman"/>
            <w:sz w:val="28"/>
            <w:szCs w:val="24"/>
          </w:rPr>
          <m:t>38</m:t>
        </m:r>
      </m:oMath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br/>
        <w:t>людино-місяців</w:t>
      </w:r>
    </w:p>
    <w:p w14:paraId="4F4A836F" w14:textId="0C4425F9" w:rsidR="00455491" w:rsidRDefault="00455491" w:rsidP="00455491">
      <w:pPr>
        <w:spacing w:line="276" w:lineRule="auto"/>
        <w:ind w:right="461" w:firstLine="708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5596F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ефективності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процесів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оцінені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супроводження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1371" w:rsidRPr="00C76317">
        <w:rPr>
          <w:rFonts w:ascii="Times New Roman" w:eastAsia="Times New Roman" w:hAnsi="Times New Roman" w:cs="Times New Roman"/>
          <w:sz w:val="28"/>
          <w:szCs w:val="24"/>
        </w:rPr>
        <w:t>Avalonia UI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Розрахува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показники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супроводжуваності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оцінку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вартості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57A3538" w14:textId="77777777" w:rsidR="00455491" w:rsidRPr="008C3F96" w:rsidRDefault="00455491" w:rsidP="00455491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455491" w:rsidRPr="008C3F96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83163"/>
    <w:multiLevelType w:val="hybridMultilevel"/>
    <w:tmpl w:val="C48CB696"/>
    <w:lvl w:ilvl="0" w:tplc="FAEE0BA2">
      <w:numFmt w:val="bullet"/>
      <w:lvlText w:val="̶"/>
      <w:lvlJc w:val="left"/>
      <w:pPr>
        <w:ind w:left="1512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A97B7F"/>
    <w:multiLevelType w:val="hybridMultilevel"/>
    <w:tmpl w:val="203869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57B14"/>
    <w:multiLevelType w:val="hybridMultilevel"/>
    <w:tmpl w:val="08AC13E6"/>
    <w:lvl w:ilvl="0" w:tplc="FAEE0BA2"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8223B"/>
    <w:multiLevelType w:val="hybridMultilevel"/>
    <w:tmpl w:val="9CAE3BCE"/>
    <w:lvl w:ilvl="0" w:tplc="AF74A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D41280"/>
    <w:multiLevelType w:val="hybridMultilevel"/>
    <w:tmpl w:val="E0662D00"/>
    <w:lvl w:ilvl="0" w:tplc="765AB79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4406CF2"/>
    <w:multiLevelType w:val="hybridMultilevel"/>
    <w:tmpl w:val="8CE24CE6"/>
    <w:lvl w:ilvl="0" w:tplc="FAEE0BA2">
      <w:numFmt w:val="bullet"/>
      <w:lvlText w:val="̶"/>
      <w:lvlJc w:val="left"/>
      <w:pPr>
        <w:ind w:left="1512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26C5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2"/>
  </w:num>
  <w:num w:numId="3">
    <w:abstractNumId w:val="21"/>
  </w:num>
  <w:num w:numId="4">
    <w:abstractNumId w:val="7"/>
  </w:num>
  <w:num w:numId="5">
    <w:abstractNumId w:val="1"/>
  </w:num>
  <w:num w:numId="6">
    <w:abstractNumId w:val="6"/>
  </w:num>
  <w:num w:numId="7">
    <w:abstractNumId w:val="16"/>
  </w:num>
  <w:num w:numId="8">
    <w:abstractNumId w:val="23"/>
  </w:num>
  <w:num w:numId="9">
    <w:abstractNumId w:val="12"/>
  </w:num>
  <w:num w:numId="10">
    <w:abstractNumId w:val="24"/>
  </w:num>
  <w:num w:numId="11">
    <w:abstractNumId w:val="17"/>
  </w:num>
  <w:num w:numId="12">
    <w:abstractNumId w:val="10"/>
  </w:num>
  <w:num w:numId="13">
    <w:abstractNumId w:val="5"/>
  </w:num>
  <w:num w:numId="14">
    <w:abstractNumId w:val="8"/>
  </w:num>
  <w:num w:numId="15">
    <w:abstractNumId w:val="4"/>
  </w:num>
  <w:num w:numId="16">
    <w:abstractNumId w:val="2"/>
  </w:num>
  <w:num w:numId="17">
    <w:abstractNumId w:val="9"/>
  </w:num>
  <w:num w:numId="18">
    <w:abstractNumId w:val="14"/>
  </w:num>
  <w:num w:numId="19">
    <w:abstractNumId w:val="20"/>
  </w:num>
  <w:num w:numId="20">
    <w:abstractNumId w:val="11"/>
  </w:num>
  <w:num w:numId="21">
    <w:abstractNumId w:val="15"/>
  </w:num>
  <w:num w:numId="22">
    <w:abstractNumId w:val="13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4730"/>
    <w:rsid w:val="00026DE8"/>
    <w:rsid w:val="00055D14"/>
    <w:rsid w:val="000B6676"/>
    <w:rsid w:val="000F622E"/>
    <w:rsid w:val="00110C75"/>
    <w:rsid w:val="00134E1E"/>
    <w:rsid w:val="00141756"/>
    <w:rsid w:val="001514D8"/>
    <w:rsid w:val="00194AF9"/>
    <w:rsid w:val="001C6C20"/>
    <w:rsid w:val="001D53E7"/>
    <w:rsid w:val="001E2BBC"/>
    <w:rsid w:val="001E7E69"/>
    <w:rsid w:val="002102BD"/>
    <w:rsid w:val="00235E4B"/>
    <w:rsid w:val="002B7915"/>
    <w:rsid w:val="002E21D3"/>
    <w:rsid w:val="002F5842"/>
    <w:rsid w:val="0030197E"/>
    <w:rsid w:val="00310214"/>
    <w:rsid w:val="00311717"/>
    <w:rsid w:val="003E174B"/>
    <w:rsid w:val="003E1B42"/>
    <w:rsid w:val="003E2C8E"/>
    <w:rsid w:val="003F28EE"/>
    <w:rsid w:val="00443AED"/>
    <w:rsid w:val="00455491"/>
    <w:rsid w:val="0045596F"/>
    <w:rsid w:val="00477FF8"/>
    <w:rsid w:val="00493531"/>
    <w:rsid w:val="004E00F7"/>
    <w:rsid w:val="004E05F2"/>
    <w:rsid w:val="004E1125"/>
    <w:rsid w:val="005352EC"/>
    <w:rsid w:val="00543492"/>
    <w:rsid w:val="0055193F"/>
    <w:rsid w:val="00596052"/>
    <w:rsid w:val="005C10BD"/>
    <w:rsid w:val="005C6E72"/>
    <w:rsid w:val="005D1447"/>
    <w:rsid w:val="005F09DF"/>
    <w:rsid w:val="0061083C"/>
    <w:rsid w:val="00614F58"/>
    <w:rsid w:val="0066738E"/>
    <w:rsid w:val="00674DF1"/>
    <w:rsid w:val="00692D56"/>
    <w:rsid w:val="006B04A5"/>
    <w:rsid w:val="006B3FEC"/>
    <w:rsid w:val="00703ABB"/>
    <w:rsid w:val="007132C9"/>
    <w:rsid w:val="00713642"/>
    <w:rsid w:val="00726773"/>
    <w:rsid w:val="007308B9"/>
    <w:rsid w:val="007457D7"/>
    <w:rsid w:val="007B0B5E"/>
    <w:rsid w:val="007F47F9"/>
    <w:rsid w:val="00851371"/>
    <w:rsid w:val="00851593"/>
    <w:rsid w:val="00856E02"/>
    <w:rsid w:val="008739B6"/>
    <w:rsid w:val="00875A47"/>
    <w:rsid w:val="008B71CA"/>
    <w:rsid w:val="008C3F96"/>
    <w:rsid w:val="008C4853"/>
    <w:rsid w:val="008F43EB"/>
    <w:rsid w:val="00933102"/>
    <w:rsid w:val="00934CF3"/>
    <w:rsid w:val="00962184"/>
    <w:rsid w:val="00975FCE"/>
    <w:rsid w:val="00992227"/>
    <w:rsid w:val="009A0FF6"/>
    <w:rsid w:val="009D1938"/>
    <w:rsid w:val="009F7FC1"/>
    <w:rsid w:val="00A12500"/>
    <w:rsid w:val="00A37153"/>
    <w:rsid w:val="00A73E7F"/>
    <w:rsid w:val="00A80A0F"/>
    <w:rsid w:val="00A97B67"/>
    <w:rsid w:val="00B12633"/>
    <w:rsid w:val="00B44676"/>
    <w:rsid w:val="00B54171"/>
    <w:rsid w:val="00B65309"/>
    <w:rsid w:val="00B8159A"/>
    <w:rsid w:val="00BA6EBD"/>
    <w:rsid w:val="00BB034A"/>
    <w:rsid w:val="00BD3146"/>
    <w:rsid w:val="00C0447E"/>
    <w:rsid w:val="00C157A0"/>
    <w:rsid w:val="00C3460E"/>
    <w:rsid w:val="00C355CE"/>
    <w:rsid w:val="00C517BE"/>
    <w:rsid w:val="00C53BBF"/>
    <w:rsid w:val="00C54474"/>
    <w:rsid w:val="00C76317"/>
    <w:rsid w:val="00C83481"/>
    <w:rsid w:val="00CD0E76"/>
    <w:rsid w:val="00CD3243"/>
    <w:rsid w:val="00CD6397"/>
    <w:rsid w:val="00D171DB"/>
    <w:rsid w:val="00D35AD0"/>
    <w:rsid w:val="00D461BA"/>
    <w:rsid w:val="00D6139E"/>
    <w:rsid w:val="00DC123B"/>
    <w:rsid w:val="00DD5286"/>
    <w:rsid w:val="00DD66B7"/>
    <w:rsid w:val="00DE6CF6"/>
    <w:rsid w:val="00E70746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ADD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533F2-236C-4FA9-9C8E-BCB741AF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8</Pages>
  <Words>1810</Words>
  <Characters>10317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35</cp:revision>
  <dcterms:created xsi:type="dcterms:W3CDTF">2022-08-28T21:27:00Z</dcterms:created>
  <dcterms:modified xsi:type="dcterms:W3CDTF">2022-11-20T03:23:00Z</dcterms:modified>
</cp:coreProperties>
</file>