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1A605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</w:pPr>
      <w:r>
        <w:rPr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</w:pPr>
    </w:p>
    <w:p>
      <w:pPr>
        <w:spacing w:lineRule="auto" w:line="240" w:after="0" w:beforeAutospacing="0" w:afterAutospacing="0"/>
        <w:jc w:val="center"/>
        <w:rPr>
          <w:sz w:val="32"/>
        </w:rPr>
      </w:pPr>
      <w:bookmarkEnd w:id="1"/>
      <w:r>
        <w:rPr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b w:val="1"/>
          <w:i w:val="1"/>
          <w:sz w:val="56"/>
        </w:rPr>
      </w:pPr>
      <w:r>
        <w:rPr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b w:val="0"/>
        </w:rPr>
      </w:pPr>
      <w:r>
        <w:rPr>
          <w:rStyle w:val="C6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</w:pPr>
      <w:r>
        <w:rPr>
          <w:rStyle w:val="C6"/>
          <w:b w:val="0"/>
        </w:rPr>
        <w:t xml:space="preserve">Проверил: </w:t>
      </w:r>
      <w: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  <w: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8"/>
        </w:rPr>
      </w:pPr>
      <w:r>
        <w:rPr>
          <w:rStyle w:val="C7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Класс </w:t>
      </w:r>
      <w:r>
        <w:rPr>
          <w:rFonts w:ascii="Times New Roman" w:hAnsi="Times New Roman"/>
          <w:noProof w:val="1"/>
          <w:sz w:val="24"/>
        </w:rPr>
        <w:t>Queue</w:t>
      </w:r>
      <w:r>
        <w:rPr>
          <w:rFonts w:ascii="Times New Roman" w:hAnsi="Times New Roman"/>
          <w:sz w:val="24"/>
        </w:rPr>
        <w:tab/>
        <w:t>7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10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rPr>
          <w:rFonts w:ascii="Times New Roman" w:hAnsi="Times New Roman"/>
          <w:b w:val="1"/>
          <w:color w:val="80808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shd w:val="clear" w:fill="auto"/>
        <w:spacing w:after="0" w:beforeAutospacing="0" w:afterAutospacing="0"/>
        <w:jc w:val="both"/>
        <w:rPr>
          <w:sz w:val="26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7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Конструктор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~Queue();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Оператор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Добавляет элемент в конец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  <w:r>
        <w:rPr>
          <w:rFonts w:ascii="Consolas" w:hAnsi="Consolas"/>
          <w:color w:val="008000"/>
          <w:sz w:val="19"/>
        </w:rPr>
        <w:t>// Вытягивает первый элемент из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  <w:r>
        <w:rPr>
          <w:rFonts w:ascii="Consolas" w:hAnsi="Consolas"/>
          <w:color w:val="008000"/>
          <w:sz w:val="19"/>
        </w:rPr>
        <w:t>// Возвращает длину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Находит максимальный элемент в очереди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724400" cy="1666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66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476750" cy="13811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4791075" cy="14859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85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Интерфейс класса Queue: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color w:val="0000FF"/>
          <w:sz w:val="32"/>
        </w:rPr>
      </w:pPr>
      <w:r>
        <w:rPr>
          <w:rFonts w:ascii="Times New Roman" w:hAnsi="Times New Roman"/>
          <w:sz w:val="32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Конструктор: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Вытягивание первого элемента из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7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(first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Добавление элемента в конец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sz w:val="52"/>
        </w:rPr>
      </w:pPr>
      <w:r>
        <w:rPr>
          <w:sz w:val="52"/>
        </w:rPr>
        <w:t>Заключение</w:t>
      </w:r>
    </w:p>
    <w:p>
      <w:pPr>
        <w:spacing w:lineRule="auto" w:line="360" w:before="240" w:beforeAutospacing="0" w:afterAutospacing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Приложение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Код класса </w:t>
      </w:r>
      <w:r>
        <w:rPr>
          <w:rFonts w:ascii="Times New Roman" w:hAnsi="Times New Roman"/>
          <w:i w:val="0"/>
          <w:noProof w:val="1"/>
          <w:sz w:val="24"/>
        </w:rPr>
        <w:t>Queue</w:t>
      </w:r>
      <w:r>
        <w:rPr>
          <w:rFonts w:ascii="Times New Roman" w:hAnsi="Times New Roman"/>
          <w:i w:val="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Queue.cpp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"Queue.h"</w:t>
      </w:r>
    </w:p>
    <w:p>
      <w:pPr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Queue.h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#ifndef</w:t>
      </w:r>
      <w:r>
        <w:rPr>
          <w:rFonts w:ascii="Consolas" w:hAnsi="Consolas"/>
          <w:color w:val="000000"/>
          <w:sz w:val="19"/>
        </w:rPr>
        <w:t xml:space="preserve"> 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tmp1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tmp2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PushQueue(rand());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= {"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tmp1 = GetQueue();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 - 1)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0)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(tmp1 &gt; tmp2)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"}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"max element in queue: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.first; i 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.last;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 &lt;&lt;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.pQueue[i] &lt;&lt;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 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&gt;&gt;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.PushQueue(temp);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&gt;::~Queue()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length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(pQueue !=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pQueue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== &amp;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(first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0"/>
        </w:rPr>
      </w:pPr>
      <w:r>
        <w:rPr>
          <w:rFonts w:ascii="Consolas" w:hAnsi="Consolas"/>
          <w:color w:val="808080"/>
          <w:sz w:val="19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jpg" /><Relationship Id="Relimage4" Type="http://schemas.openxmlformats.org/officeDocument/2006/relationships/image" Target="/media/image4.jpg" /><Relationship Id="Relimage3" Type="http://schemas.openxmlformats.org/officeDocument/2006/relationships/image" Target="/media/image3.jpg" /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