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footnotes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Священное Писание Нового Завета</w:t>
      </w:r>
    </w:p>
    <w:p>
      <w:pPr>
        <w:pStyle w:val="Normal"/>
        <w:spacing w:lineRule="auto" w:line="36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Лабораторная работа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(Курс 5, семестр 9)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40"/>
          <w:szCs w:val="24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sz w:val="28"/>
        </w:rPr>
        <w:t>Тексты источников, конспект, рефераты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2"/>
                <w:lang w:val="ru-RU" w:eastAsia="en-US" w:bidi="ar-SA"/>
              </w:rPr>
              <w:t>Тема 11.</w:t>
            </w:r>
          </w:p>
        </w:tc>
      </w:tr>
      <w:tr>
        <w:trPr>
          <w:trHeight w:val="70" w:hRule="atLeast"/>
        </w:trPr>
        <w:tc>
          <w:tcPr>
            <w:tcW w:w="9026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Calibri" w:cs="" w:ascii="Calibri" w:hAnsi="Calibri"/>
                <w:kern w:val="0"/>
                <w:sz w:val="28"/>
                <w:szCs w:val="22"/>
                <w:lang w:val="ru-RU" w:eastAsia="en-US" w:bidi="ar-SA"/>
              </w:rPr>
              <w:t xml:space="preserve">Исагогика и экзегетика Соборных Посланий </w:t>
            </w: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</w:tr>
    </w:tbl>
    <w:p>
      <w:pPr>
        <w:pStyle w:val="ListParagraph"/>
        <w:ind w:left="0" w:hanging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ОЛ (Основная литература. См. в папке литература) -1; ОЛ – 7;</w:t>
            </w:r>
          </w:p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-1; ДЛ – 7; ДЛ – 9.</w:t>
            </w:r>
          </w:p>
        </w:tc>
      </w:tr>
    </w:tbl>
    <w:p>
      <w:pPr>
        <w:pStyle w:val="ListParagraph"/>
        <w:ind w:left="0" w:hanging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ListParagraph"/>
        <w:ind w:left="0" w:hanging="0"/>
        <w:jc w:val="center"/>
        <w:rPr>
          <w:b/>
          <w:sz w:val="32"/>
        </w:rPr>
      </w:pPr>
      <w:r>
        <w:rPr>
          <w:b/>
          <w:sz w:val="32"/>
        </w:rPr>
        <w:t>Послания Иоанна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left="0" w:right="0" w:firstLine="454"/>
        <w:contextualSpacing/>
        <w:jc w:val="both"/>
        <w:rPr/>
      </w:pPr>
      <w:r>
        <w:rPr>
          <w:sz w:val="28"/>
        </w:rPr>
        <w:t xml:space="preserve">Проблема авторства, место и время написания посланий. </w:t>
      </w:r>
      <w:r>
        <w:rPr>
          <w:sz w:val="28"/>
        </w:rPr>
        <w:t>По словам прот. Олега Стеняева, авторство практически не вызывает сомнений, поскольку послание написано тем же языком, что и евангелие от Иоанна, в нём похожий ход мыслей, похожие словесные обороты, он так же именует Бога Словом, Логосом, это говорит о с</w:t>
      </w:r>
      <w:r>
        <w:rPr>
          <w:sz w:val="28"/>
        </w:rPr>
        <w:t>вязь</w:t>
      </w:r>
      <w:r>
        <w:rPr>
          <w:sz w:val="28"/>
        </w:rPr>
        <w:t>и</w:t>
      </w:r>
      <w:r>
        <w:rPr>
          <w:sz w:val="28"/>
        </w:rPr>
        <w:t xml:space="preserve"> с IV-м Евангелием. </w:t>
      </w:r>
      <w:r>
        <w:rPr>
          <w:sz w:val="28"/>
        </w:rPr>
        <w:t xml:space="preserve">Послание предположительно написано в 90м г. 1-го века.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left="0" w:right="0" w:firstLine="454"/>
        <w:contextualSpacing/>
        <w:jc w:val="both"/>
        <w:rPr/>
      </w:pPr>
      <w:r>
        <w:rPr>
          <w:sz w:val="28"/>
        </w:rPr>
        <w:t>Р. Браун обращает внимание на сходство стилистики и лексики 1 Ин с Ин, что делает очевидной, как минимум, их принадлежность традиции</w:t>
      </w:r>
      <w:r>
        <w:rPr>
          <w:rStyle w:val="Style17"/>
          <w:sz w:val="28"/>
        </w:rPr>
        <w:footnoteReference w:id="2"/>
      </w:r>
      <w:r>
        <w:rPr>
          <w:sz w:val="28"/>
        </w:rPr>
        <w:t>. По Р. Брауну — написано после 100 года.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left="0" w:right="0" w:firstLine="454"/>
        <w:contextualSpacing/>
        <w:jc w:val="both"/>
        <w:rPr/>
      </w:pPr>
      <w:r>
        <w:rPr>
          <w:sz w:val="28"/>
        </w:rPr>
        <w:t>Следует отметить так же, что поводом к написанию послужил раскол в христианской общине, одна группа считала, что Христос показал нравственный стандарт поведения, а другая группа считала, что достаточно просто верить в Слово.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left="0" w:right="0" w:firstLine="454"/>
        <w:contextualSpacing/>
        <w:jc w:val="both"/>
        <w:rPr/>
      </w:pPr>
      <w:r>
        <w:rPr>
          <w:sz w:val="28"/>
        </w:rPr>
        <w:t>По Д. Гатри. Авторство послания всегда признавалось за Иоанном. Местом назначением справедливо считается провинция Азия</w:t>
      </w:r>
      <w:r>
        <w:rPr>
          <w:rStyle w:val="Style17"/>
          <w:sz w:val="28"/>
        </w:rPr>
        <w:footnoteReference w:id="3"/>
      </w:r>
      <w:r>
        <w:rPr>
          <w:sz w:val="28"/>
        </w:rPr>
        <w:t>. Местом написания можно считать Эфес, где апостол Иоанн провёл последние годы своей жизни, «по единодушному свидетельству древних писателей»</w:t>
      </w:r>
      <w:r>
        <w:rPr>
          <w:rStyle w:val="Style17"/>
          <w:sz w:val="28"/>
        </w:rPr>
        <w:footnoteReference w:id="4"/>
      </w:r>
      <w:r>
        <w:rPr>
          <w:sz w:val="28"/>
        </w:rPr>
        <w:t xml:space="preserve">.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left="0" w:right="0" w:firstLine="454"/>
        <w:contextualSpacing/>
        <w:jc w:val="both"/>
        <w:rPr>
          <w:sz w:val="28"/>
        </w:rPr>
      </w:pPr>
      <w:r>
        <w:rPr/>
      </w:r>
    </w:p>
    <w:p>
      <w:pPr>
        <w:pStyle w:val="ListParagraph"/>
        <w:spacing w:lineRule="auto" w:line="360"/>
        <w:ind w:left="1069" w:hanging="0"/>
        <w:jc w:val="both"/>
        <w:rPr>
          <w:sz w:val="28"/>
        </w:rPr>
      </w:pPr>
      <w:r>
        <w:rPr/>
      </w:r>
    </w:p>
    <w:p>
      <w:pPr>
        <w:pStyle w:val="ListParagraph"/>
        <w:spacing w:lineRule="auto" w:line="360"/>
        <w:ind w:left="1069" w:hanging="0"/>
        <w:jc w:val="both"/>
        <w:rPr>
          <w:sz w:val="28"/>
        </w:rPr>
      </w:pPr>
      <w:r>
        <w:rPr/>
      </w:r>
    </w:p>
    <w:p>
      <w:pPr>
        <w:pStyle w:val="ListParagraph"/>
        <w:spacing w:lineRule="auto" w:line="360"/>
        <w:ind w:left="0"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1-е послание</w:t>
      </w:r>
    </w:p>
    <w:p>
      <w:pPr>
        <w:pStyle w:val="ListParagraph"/>
        <w:spacing w:lineRule="auto" w:line="360"/>
        <w:ind w:left="0" w:firstLine="709"/>
        <w:jc w:val="both"/>
        <w:rPr>
          <w:sz w:val="28"/>
        </w:rPr>
      </w:pPr>
      <w:r>
        <w:rPr>
          <w:sz w:val="28"/>
        </w:rPr>
        <w:t xml:space="preserve">2. Истинность благовестия о Слове жизни (1: 1 -5), характер и условия богообщения (1:6 – 2:11). </w:t>
      </w:r>
      <w:r>
        <w:rPr>
          <w:sz w:val="28"/>
        </w:rPr>
        <w:t>Нравственная цель послания очень проста — чтобы мы не грешили, и чтобы радость наша была совершенна. В 1 Ин. 1: 3 формулируется призыв к богообщению, к Божественной кинонии. Условия богообщения — хождение в свете, которое противополагается греху (1 Ин. 1: 4 – 7).</w:t>
      </w:r>
    </w:p>
    <w:p>
      <w:pPr>
        <w:pStyle w:val="ListParagraph"/>
        <w:spacing w:lineRule="auto" w:line="360"/>
        <w:ind w:left="0" w:firstLine="709"/>
        <w:jc w:val="both"/>
        <w:rPr>
          <w:sz w:val="28"/>
        </w:rPr>
      </w:pPr>
      <w:r>
        <w:rPr>
          <w:sz w:val="28"/>
        </w:rPr>
        <w:t xml:space="preserve">3. Всеобщность спасения во Христе (2:12 - 14), о делах мира (2:15 -17), об отступниках (2:18 -28), дети Божии и дети диавола (3: 1 -10). </w:t>
      </w:r>
    </w:p>
    <w:p>
      <w:pPr>
        <w:pStyle w:val="ListParagraph"/>
        <w:spacing w:lineRule="auto" w:line="360"/>
        <w:ind w:left="0" w:firstLine="709"/>
        <w:jc w:val="both"/>
        <w:rPr>
          <w:sz w:val="28"/>
        </w:rPr>
      </w:pPr>
      <w:r>
        <w:rPr>
          <w:sz w:val="28"/>
        </w:rPr>
        <w:t xml:space="preserve">4. О любви к Богу и ближним (3:11 – 5:12). Заключение (5 :13 -21). </w:t>
      </w:r>
    </w:p>
    <w:p>
      <w:pPr>
        <w:pStyle w:val="ListParagraph"/>
        <w:spacing w:lineRule="auto" w:line="360"/>
        <w:ind w:left="0" w:hanging="0"/>
        <w:jc w:val="center"/>
        <w:rPr>
          <w:b/>
          <w:sz w:val="32"/>
        </w:rPr>
      </w:pPr>
      <w:r>
        <w:rPr>
          <w:b/>
          <w:sz w:val="32"/>
        </w:rPr>
        <w:t>2 -е послание</w:t>
      </w:r>
    </w:p>
    <w:p>
      <w:pPr>
        <w:pStyle w:val="ListParagraph"/>
        <w:spacing w:lineRule="auto" w:line="360"/>
        <w:ind w:left="0" w:firstLine="709"/>
        <w:jc w:val="both"/>
        <w:rPr>
          <w:sz w:val="28"/>
        </w:rPr>
      </w:pPr>
      <w:r>
        <w:rPr>
          <w:sz w:val="28"/>
        </w:rPr>
        <w:t xml:space="preserve">5. Приветствие (1 -3), заповедь любви и благочестия (4 -6), предостережение от лжеучителей (7 -11), заключение (12 - 13). </w:t>
      </w:r>
    </w:p>
    <w:p>
      <w:pPr>
        <w:pStyle w:val="ListParagraph"/>
        <w:spacing w:lineRule="auto" w:line="360"/>
        <w:ind w:left="0" w:firstLine="709"/>
        <w:jc w:val="center"/>
        <w:rPr>
          <w:b/>
          <w:sz w:val="32"/>
        </w:rPr>
      </w:pPr>
      <w:bookmarkStart w:id="0" w:name="_GoBack"/>
      <w:r>
        <w:rPr>
          <w:b/>
          <w:sz w:val="32"/>
        </w:rPr>
        <w:t>3 -е послание</w:t>
      </w:r>
      <w:bookmarkEnd w:id="0"/>
    </w:p>
    <w:p>
      <w:pPr>
        <w:pStyle w:val="ListParagraph"/>
        <w:spacing w:lineRule="auto" w:line="360"/>
        <w:ind w:left="0" w:firstLine="709"/>
        <w:jc w:val="both"/>
        <w:rPr>
          <w:sz w:val="28"/>
        </w:rPr>
      </w:pPr>
      <w:r>
        <w:rPr>
          <w:sz w:val="28"/>
        </w:rPr>
        <w:t>6. Приветствие Гаию (1 -4), о странноприимстве (5 -8), обличение (9-12), заключение (13-15).</w:t>
      </w:r>
    </w:p>
    <w:p>
      <w:pPr>
        <w:pStyle w:val="ListParagraph"/>
        <w:spacing w:lineRule="auto" w:line="360"/>
        <w:ind w:left="0"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ListParagraph"/>
        <w:spacing w:lineRule="auto" w:line="360"/>
        <w:ind w:left="0"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Послание Иуды</w:t>
      </w:r>
    </w:p>
    <w:p>
      <w:pPr>
        <w:pStyle w:val="ListParagraph"/>
        <w:spacing w:lineRule="auto" w:line="360"/>
        <w:ind w:left="0" w:hanging="0"/>
        <w:jc w:val="center"/>
        <w:rPr>
          <w:sz w:val="28"/>
        </w:rPr>
      </w:pPr>
      <w:r>
        <w:rPr>
          <w:sz w:val="28"/>
        </w:rPr>
        <w:t>ВОПРОСЫ ДЛЯ ОБСУЖДЕНИЯ</w:t>
      </w:r>
    </w:p>
    <w:p>
      <w:pPr>
        <w:pStyle w:val="ListParagraph"/>
        <w:spacing w:lineRule="auto" w:line="360"/>
        <w:ind w:left="0" w:firstLine="709"/>
        <w:jc w:val="both"/>
        <w:rPr>
          <w:sz w:val="28"/>
        </w:rPr>
      </w:pPr>
      <w:r>
        <w:rPr>
          <w:sz w:val="28"/>
        </w:rPr>
        <w:t xml:space="preserve">1. Авторство, датировка и адресаты послания.                                                                                                                                    </w:t>
      </w:r>
    </w:p>
    <w:p>
      <w:pPr>
        <w:pStyle w:val="ListParagraph"/>
        <w:spacing w:lineRule="auto" w:line="360"/>
        <w:ind w:left="0" w:firstLine="709"/>
        <w:jc w:val="both"/>
        <w:rPr>
          <w:sz w:val="28"/>
        </w:rPr>
      </w:pPr>
      <w:r>
        <w:rPr>
          <w:sz w:val="28"/>
        </w:rPr>
        <w:t xml:space="preserve">2. Особенности: цитация апокрифических источников. </w:t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sz w:val="28"/>
        </w:rPr>
        <w:t>3. Содержание послания: вступительная формула (1-2),</w:t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sz w:val="28"/>
        </w:rPr>
        <w:t>4. начинающееся отступничество (3-4),</w:t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sz w:val="28"/>
        </w:rPr>
        <w:t>5. характеристика лжеучителей (15-19),</w:t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sz w:val="28"/>
        </w:rPr>
        <w:t>6. наставления в вере (20-23).</w:t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b/>
          <w:sz w:val="44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b/>
          <w:sz w:val="44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b/>
          <w:sz w:val="44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b/>
          <w:sz w:val="44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b/>
          <w:sz w:val="44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b/>
          <w:sz w:val="44"/>
          <w:szCs w:val="28"/>
        </w:rPr>
      </w:pPr>
      <w:r>
        <w:rPr>
          <w:b/>
          <w:sz w:val="44"/>
          <w:szCs w:val="28"/>
        </w:rPr>
      </w:r>
    </w:p>
    <w:p>
      <w:pPr>
        <w:pStyle w:val="Style23"/>
        <w:jc w:val="left"/>
        <w:rPr/>
      </w:pPr>
      <w:r>
        <w:rPr/>
      </w:r>
      <w:r>
        <w:br w:type="page"/>
      </w:r>
    </w:p>
    <w:p>
      <w:pPr>
        <w:pStyle w:val="Normal"/>
        <w:rPr/>
      </w:pPr>
      <w:r>
        <w:rPr/>
        <w:t>Список литературы</w:t>
      </w:r>
    </w:p>
    <w:p>
      <w:pPr>
        <w:pStyle w:val="Normal"/>
        <w:rPr/>
      </w:pPr>
      <w:bookmarkStart w:id="1" w:name="page227R_mcid5"/>
      <w:bookmarkEnd w:id="1"/>
      <w:r>
        <w:rPr/>
        <w:t>Браун Р. Введение в Новый Завет: Учебное пособие в 2 т. / Р. Браун. – Москва: Библейско-богословский институт св. апостола Андрея, 2007. – 450 с. – (Сер: Современная библеистика). – Текст: непосредственный.</w:t>
      </w:r>
    </w:p>
    <w:p>
      <w:pPr>
        <w:pStyle w:val="Normal"/>
        <w:rPr/>
      </w:pPr>
      <w:bookmarkStart w:id="2" w:name="page227R_mcid11"/>
      <w:bookmarkEnd w:id="2"/>
      <w:r>
        <w:rPr/>
        <w:t>Уляхин Валентин, протоиерей. Священное Писание Нового Завета: Апостол: Учебное пособие; Рек. Изд. сов РПЦ / протоиерей Валентин Уляхин. – Москва: ПСТГУ, 2015. – 496 с. – Текст: непосредственный.</w:t>
      </w:r>
    </w:p>
    <w:p>
      <w:pPr>
        <w:pStyle w:val="Normal"/>
        <w:rPr/>
      </w:pPr>
      <w:bookmarkStart w:id="3" w:name="page227R_mcid13"/>
      <w:bookmarkEnd w:id="3"/>
      <w:r>
        <w:rPr/>
        <w:t>Библия. Новый Завет, 2016. – 671 с. –</w:t>
      </w:r>
      <w:bookmarkStart w:id="4" w:name="page227R_mcid14"/>
      <w:bookmarkEnd w:id="4"/>
      <w:r>
        <w:rPr/>
        <w:t xml:space="preserve"> URL</w:t>
      </w:r>
      <w:bookmarkStart w:id="5" w:name="page227R_mcid15"/>
      <w:bookmarkEnd w:id="5"/>
      <w:r>
        <w:rPr/>
        <w:t>:</w:t>
      </w:r>
      <w:bookmarkStart w:id="6" w:name="page227R_mcid16"/>
      <w:bookmarkEnd w:id="6"/>
      <w:r>
        <w:rPr/>
        <w:br/>
        <w:t>http://biblioclub.ru/index.php?page=book_view</w:t>
      </w:r>
      <w:bookmarkStart w:id="7" w:name="page227R_mcid17"/>
      <w:bookmarkEnd w:id="7"/>
      <w:r>
        <w:rPr/>
        <w:t>_red&amp;book_id=452459 (дата об-</w:t>
      </w:r>
      <w:bookmarkStart w:id="8" w:name="page227R_mcid18"/>
      <w:bookmarkEnd w:id="8"/>
      <w:r>
        <w:rPr/>
        <w:br/>
        <w:t>ращения: 21.12.2020).</w:t>
      </w:r>
      <w:bookmarkStart w:id="9" w:name="page227R_mcid19"/>
      <w:bookmarkEnd w:id="9"/>
      <w:r>
        <w:rPr/>
        <w:t xml:space="preserve"> –</w:t>
      </w:r>
      <w:bookmarkStart w:id="10" w:name="page227R_mcid20"/>
      <w:bookmarkStart w:id="11" w:name="page227R_mcid21"/>
      <w:bookmarkEnd w:id="10"/>
      <w:bookmarkEnd w:id="11"/>
      <w:r>
        <w:rPr/>
        <w:t xml:space="preserve"> Текст: электронный.</w:t>
      </w:r>
    </w:p>
    <w:p>
      <w:pPr>
        <w:pStyle w:val="Normal"/>
        <w:rPr/>
      </w:pPr>
      <w:bookmarkStart w:id="12" w:name="page229R_mcid83"/>
      <w:bookmarkEnd w:id="12"/>
      <w:r>
        <w:rPr/>
        <w:t>Православная энциклопедия. Т. 51: Никон</w:t>
      </w:r>
      <w:bookmarkStart w:id="13" w:name="page229R_mcid84"/>
      <w:bookmarkEnd w:id="13"/>
      <w:r>
        <w:rPr/>
        <w:t>-</w:t>
      </w:r>
      <w:bookmarkStart w:id="14" w:name="page229R_mcid85"/>
      <w:bookmarkEnd w:id="14"/>
      <w:r>
        <w:rPr/>
        <w:t>Ноилмара.</w:t>
      </w:r>
      <w:bookmarkStart w:id="15" w:name="page229R_mcid86"/>
      <w:bookmarkEnd w:id="15"/>
      <w:r>
        <w:rPr/>
        <w:t xml:space="preserve"> –</w:t>
      </w:r>
      <w:bookmarkStart w:id="16" w:name="page229R_mcid87"/>
      <w:bookmarkStart w:id="17" w:name="page229R_mcid88"/>
      <w:bookmarkEnd w:id="16"/>
      <w:bookmarkEnd w:id="17"/>
      <w:r>
        <w:rPr/>
        <w:t xml:space="preserve"> Москва: Православ-</w:t>
      </w:r>
      <w:bookmarkStart w:id="18" w:name="page229R_mcid89"/>
      <w:bookmarkEnd w:id="18"/>
      <w:r>
        <w:rPr/>
        <w:br/>
        <w:t>ная энциклопедия, 2018.</w:t>
      </w:r>
      <w:bookmarkStart w:id="19" w:name="page229R_mcid90"/>
      <w:bookmarkEnd w:id="19"/>
      <w:r>
        <w:rPr/>
        <w:t xml:space="preserve"> –</w:t>
      </w:r>
      <w:bookmarkStart w:id="20" w:name="page229R_mcid91"/>
      <w:bookmarkStart w:id="21" w:name="page229R_mcid92"/>
      <w:bookmarkEnd w:id="20"/>
      <w:bookmarkEnd w:id="21"/>
      <w:r>
        <w:rPr/>
        <w:t xml:space="preserve"> 753</w:t>
      </w:r>
      <w:bookmarkStart w:id="22" w:name="page229R_mcid93"/>
      <w:bookmarkStart w:id="23" w:name="page229R_mcid94"/>
      <w:bookmarkEnd w:id="22"/>
      <w:bookmarkEnd w:id="23"/>
      <w:r>
        <w:rPr/>
        <w:t xml:space="preserve"> с. : ил.</w:t>
      </w:r>
      <w:bookmarkStart w:id="24" w:name="page229R_mcid95"/>
      <w:bookmarkEnd w:id="24"/>
      <w:r>
        <w:rPr/>
        <w:t xml:space="preserve"> –</w:t>
      </w:r>
      <w:bookmarkStart w:id="25" w:name="page229R_mcid96"/>
      <w:bookmarkStart w:id="26" w:name="page229R_mcid97"/>
      <w:bookmarkEnd w:id="25"/>
      <w:bookmarkEnd w:id="26"/>
      <w:r>
        <w:rPr/>
        <w:t xml:space="preserve"> Текст : непосредственный.</w:t>
      </w:r>
    </w:p>
    <w:sectPr>
      <w:footnotePr>
        <w:numFmt w:val="decimal"/>
      </w:footnote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Nimbus Sans">
    <w:charset w:val="01"/>
    <w:family w:val="roman"/>
    <w:pitch w:val="variable"/>
  </w:font>
  <w:font w:name="Calibri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27"/>
        <w:rPr/>
      </w:pPr>
      <w:r>
        <w:rPr>
          <w:rStyle w:val="Style16"/>
        </w:rPr>
        <w:footnoteRef/>
      </w:r>
      <w:r>
        <w:rPr/>
        <w:tab/>
        <w:t xml:space="preserve">Браун Р. Введение в Новый Завет: Учебное пособие, т. </w:t>
      </w:r>
      <w:r>
        <w:rPr/>
        <w:t>1</w:t>
      </w:r>
      <w:r>
        <w:rPr/>
        <w:t xml:space="preserve"> М: Библейско-богословский институт св. апостола Андрея, 2007. </w:t>
      </w:r>
      <w:r>
        <w:rPr/>
        <w:t>с.</w:t>
      </w:r>
      <w:r>
        <w:rPr/>
        <w:t xml:space="preserve"> </w:t>
      </w:r>
      <w:r>
        <w:rPr/>
        <w:t>232</w:t>
      </w:r>
    </w:p>
    <w:p>
      <w:pPr>
        <w:pStyle w:val="Style27"/>
        <w:rPr/>
      </w:pPr>
      <w:r>
        <w:rPr/>
        <w:t>с. – (Сер: Современная библеистика). – Текст: непосредственный.</w:t>
      </w:r>
    </w:p>
  </w:footnote>
  <w:footnote w:id="3">
    <w:p>
      <w:pPr>
        <w:pStyle w:val="Style27"/>
        <w:rPr/>
      </w:pPr>
      <w:r>
        <w:rPr>
          <w:rStyle w:val="Style16"/>
        </w:rPr>
        <w:footnoteRef/>
      </w:r>
      <w:r>
        <w:rPr/>
        <w:tab/>
        <w:t xml:space="preserve">Д. Гатри. Введение в новый Завет. Гл.23 Архивная копия от 4 марта 2016 на Wayback Machine. </w:t>
      </w:r>
      <w:r>
        <w:rPr/>
        <w:t xml:space="preserve">Url: </w:t>
      </w:r>
      <w:hyperlink r:id="rId1">
        <w:r>
          <w:rPr>
            <w:rStyle w:val="-"/>
          </w:rPr>
          <w:t>https://web.archive.org/web/20160304194727/http://www.reformed.org.ua/2/183/24/Guthrie</w:t>
        </w:r>
      </w:hyperlink>
      <w:r>
        <w:rPr/>
        <w:t xml:space="preserve"> (дата обращения 15.05.2023)</w:t>
      </w:r>
    </w:p>
  </w:footnote>
  <w:footnote w:id="4">
    <w:p>
      <w:pPr>
        <w:pStyle w:val="Style27"/>
        <w:rPr/>
      </w:pPr>
      <w:r>
        <w:rPr>
          <w:rStyle w:val="Style16"/>
        </w:rPr>
        <w:footnoteRef/>
      </w:r>
      <w:r>
        <w:rPr/>
        <w:tab/>
        <w:t xml:space="preserve">Иванов А. В. </w:t>
      </w:r>
      <w:r>
        <w:rPr/>
        <w:t xml:space="preserve">Руководство к изучению книг Священного Писания Нового Завета. </w:t>
      </w:r>
      <w:r>
        <w:rPr/>
        <w:t>Url:</w:t>
      </w:r>
      <w:r>
        <w:rPr/>
        <w:t xml:space="preserve"> </w:t>
      </w:r>
      <w:hyperlink r:id="rId2">
        <w:r>
          <w:rPr>
            <w:rStyle w:val="-"/>
          </w:rPr>
          <w:t>https://azbyka.ru/otechnik/Aleksandr_Ivanov/rukovodstvo-k-izucheniyu-novogo-zaveta-apostol-ivanov/5</w:t>
        </w:r>
      </w:hyperlink>
      <w:r>
        <w:rPr/>
        <w:t xml:space="preserve"> </w:t>
      </w:r>
      <w:r>
        <w:rPr/>
        <w:t>(дата обращения 15.05.23)</w:t>
      </w:r>
    </w:p>
  </w:footnote>
</w:footnotes>
</file>

<file path=word/settings.xml><?xml version="1.0" encoding="utf-8"?>
<w:settings xmlns:w="http://schemas.openxmlformats.org/wordprocessingml/2006/main">
  <w:zoom w:percent="14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5" w:customStyle="1">
    <w:name w:val="Абзац списка Знак"/>
    <w:link w:val="ListParagraph"/>
    <w:uiPriority w:val="34"/>
    <w:qFormat/>
    <w:locked/>
    <w:rsid w:val="008e6547"/>
    <w:rPr/>
  </w:style>
  <w:style w:type="character" w:styleId="Style16">
    <w:name w:val="Символ сноски"/>
    <w:qFormat/>
    <w:rPr/>
  </w:style>
  <w:style w:type="character" w:styleId="Style17">
    <w:name w:val="Footnote Reference"/>
    <w:rPr>
      <w:vertAlign w:val="superscript"/>
    </w:rPr>
  </w:style>
  <w:style w:type="character" w:styleId="Style18">
    <w:name w:val="Endnote Reference"/>
    <w:rPr>
      <w:vertAlign w:val="superscript"/>
    </w:rPr>
  </w:style>
  <w:style w:type="character" w:styleId="Style19">
    <w:name w:val="Символ концевой сноски"/>
    <w:qFormat/>
    <w:rPr/>
  </w:style>
  <w:style w:type="character" w:styleId="Style20">
    <w:name w:val="Маркеры"/>
    <w:qFormat/>
    <w:rPr>
      <w:rFonts w:ascii="OpenSymbol" w:hAnsi="OpenSymbol" w:eastAsia="OpenSymbol" w:cs="OpenSymbol"/>
    </w:rPr>
  </w:style>
  <w:style w:type="character" w:styleId="Style21">
    <w:name w:val="Символ нумерации"/>
    <w:qFormat/>
    <w:rPr/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5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paragraph" w:styleId="Style27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eb.archive.org/web/20160304194727/http://www.reformed.org.ua/2/183/24/Guthrie" TargetMode="External"/><Relationship Id="rId2" Type="http://schemas.openxmlformats.org/officeDocument/2006/relationships/hyperlink" Target="https://azbyka.ru/otechnik/Aleksandr_Ivanov/rukovodstvo-k-izucheniyu-novogo-zaveta-apostol-ivanov/5" TargetMode="Externa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Application>LibreOffice/7.5.2.2$Linux_X86_64 LibreOffice_project/50$Build-2</Application>
  <AppVersion>15.0000</AppVersion>
  <Pages>4</Pages>
  <Words>521</Words>
  <Characters>3332</Characters>
  <CharactersWithSpaces>3976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2022-09-10T07:05:00Z</dcterms:created>
  <dc:creator>Windows User</dc:creator>
  <dc:description/>
  <dc:language>ru-RU</dc:language>
  <cp:lastModifiedBy>Кирилл Ильич Назаров</cp:lastModifiedBy>
  <cp:lastPrinted>2019-02-21T12:38:00Z</cp:lastPrinted>
  <dcterms:modified xsi:type="dcterms:W3CDTF">2023-05-15T10:45:15Z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