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eastAsia="Times New Roman"/>
          <w:color w:val="FF0000"/>
          <w:sz w:val="32"/>
          <w:szCs w:val="24"/>
        </w:rPr>
      </w:pPr>
      <w:r>
        <w:rPr/>
        <w:drawing>
          <wp:inline distT="0" distB="0" distL="0" distR="0">
            <wp:extent cx="685800" cy="701675"/>
            <wp:effectExtent l="0" t="0" r="0" b="0"/>
            <wp:docPr id="1" name="Рисунок 1" descr="C:\Users\Anna\YandexDisk\Анна\Миссионерский институт\Благодарственное письмо МИ\логотип М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Anna\YandexDisk\Анна\Миссионерский институт\Благодарственное письмо МИ\логотип МИ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69737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eastAsia="Times New Roman"/>
          <w:color w:val="FF0000"/>
          <w:sz w:val="28"/>
          <w:szCs w:val="28"/>
        </w:rPr>
      </w:pPr>
      <w:r>
        <w:rPr>
          <w:rFonts w:eastAsia="Times New Roman"/>
          <w:color w:val="FF0000"/>
          <w:sz w:val="28"/>
          <w:szCs w:val="28"/>
        </w:rPr>
        <w:t>Безопасность жизнедеятельности</w:t>
      </w:r>
    </w:p>
    <w:p>
      <w:pPr>
        <w:pStyle w:val="Normal"/>
        <w:spacing w:lineRule="auto" w:line="360"/>
        <w:jc w:val="center"/>
        <w:rPr>
          <w:b/>
          <w:b/>
          <w:sz w:val="28"/>
          <w:szCs w:val="28"/>
        </w:rPr>
      </w:pPr>
      <w:r>
        <w:rPr>
          <w:rFonts w:eastAsia="Times New Roman"/>
          <w:sz w:val="28"/>
          <w:szCs w:val="28"/>
        </w:rPr>
        <w:t>(Курс 5, семестр 9)</w:t>
      </w:r>
      <w:r>
        <w:rPr>
          <w:b/>
          <w:sz w:val="28"/>
          <w:szCs w:val="28"/>
        </w:rPr>
        <w:t xml:space="preserve"> </w:t>
      </w:r>
    </w:p>
    <w:p>
      <w:pPr>
        <w:pStyle w:val="Normal"/>
        <w:spacing w:lineRule="auto" w:line="36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(заочной формы обучения)</w:t>
      </w:r>
    </w:p>
    <w:p>
      <w:pPr>
        <w:pStyle w:val="Normal"/>
        <w:spacing w:lineRule="auto" w:line="360"/>
        <w:jc w:val="center"/>
        <w:rPr>
          <w:rFonts w:eastAsia="Times New Roman"/>
          <w:b/>
          <w:b/>
          <w:sz w:val="28"/>
          <w:szCs w:val="28"/>
          <w:u w:val="single"/>
        </w:rPr>
      </w:pPr>
      <w:r>
        <w:rPr>
          <w:rFonts w:eastAsia="Times New Roman"/>
          <w:b/>
          <w:sz w:val="28"/>
          <w:szCs w:val="28"/>
          <w:u w:val="single"/>
        </w:rPr>
        <w:t>Семинарское занятие</w:t>
      </w:r>
    </w:p>
    <w:p>
      <w:pPr>
        <w:pStyle w:val="Normal"/>
        <w:spacing w:lineRule="auto" w:line="360"/>
        <w:ind w:firstLine="709"/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4"/>
        </w:rPr>
        <w:t>Оценочные средства</w:t>
      </w:r>
      <w:r>
        <w:rPr>
          <w:sz w:val="28"/>
          <w:szCs w:val="24"/>
        </w:rPr>
        <w:t xml:space="preserve">: </w:t>
      </w:r>
      <w:r>
        <w:rPr>
          <w:sz w:val="28"/>
          <w:szCs w:val="20"/>
        </w:rPr>
        <w:t>Темы докладов, презентации, участие в дискуссии</w:t>
      </w:r>
    </w:p>
    <w:tbl>
      <w:tblPr>
        <w:tblStyle w:val="a9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/>
        <w:tc>
          <w:tcPr>
            <w:tcW w:w="9026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b/>
                <w:b/>
                <w:color w:val="FF0000"/>
                <w:sz w:val="28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kern w:val="0"/>
                <w:sz w:val="28"/>
                <w:szCs w:val="24"/>
                <w:lang w:val="ru-RU" w:eastAsia="en-US" w:bidi="ar-SA"/>
              </w:rPr>
              <w:t>Раздел</w:t>
            </w:r>
          </w:p>
        </w:tc>
      </w:tr>
      <w:tr>
        <w:trPr/>
        <w:tc>
          <w:tcPr>
            <w:tcW w:w="9026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eastAsia="Calibri" w:cs="Times New Roman"/>
                <w:kern w:val="0"/>
                <w:sz w:val="28"/>
                <w:szCs w:val="24"/>
                <w:lang w:val="ru-RU" w:eastAsia="en-US" w:bidi="ar-SA"/>
              </w:rPr>
              <w:t>Экологические аспекты безопасности жизнедеятельности.</w:t>
            </w:r>
          </w:p>
        </w:tc>
      </w:tr>
    </w:tbl>
    <w:p>
      <w:pPr>
        <w:pStyle w:val="Normal"/>
        <w:spacing w:lineRule="atLeast" w:line="23"/>
        <w:ind w:right="-52" w:hanging="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ind w:firstLine="709"/>
        <w:jc w:val="center"/>
        <w:rPr>
          <w:b/>
          <w:b/>
          <w:color w:val="FF0000"/>
          <w:sz w:val="28"/>
          <w:szCs w:val="24"/>
        </w:rPr>
      </w:pPr>
      <w:r>
        <w:rPr>
          <w:b/>
          <w:color w:val="FF0000"/>
          <w:sz w:val="28"/>
          <w:szCs w:val="24"/>
        </w:rPr>
        <w:t>Литература для подготовки:</w:t>
      </w:r>
    </w:p>
    <w:tbl>
      <w:tblPr>
        <w:tblStyle w:val="a9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/>
        <w:tc>
          <w:tcPr>
            <w:tcW w:w="9026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 xml:space="preserve">ОЛ (Основная литература. См. в папке литература) -1; </w:t>
            </w:r>
          </w:p>
          <w:p>
            <w:pPr>
              <w:pStyle w:val="ListParagraph"/>
              <w:widowControl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 xml:space="preserve">ДЛ (Дополнительная литература. См. в папке литература) -2. </w:t>
            </w:r>
          </w:p>
        </w:tc>
      </w:tr>
    </w:tbl>
    <w:p>
      <w:pPr>
        <w:pStyle w:val="ListParagraph"/>
        <w:ind w:left="0" w:hanging="0"/>
        <w:jc w:val="both"/>
        <w:rPr>
          <w:sz w:val="28"/>
          <w:szCs w:val="24"/>
        </w:rPr>
      </w:pPr>
      <w:r>
        <w:rPr>
          <w:sz w:val="28"/>
          <w:szCs w:val="24"/>
        </w:rPr>
        <w:t>ВОПРОСЫ ДЛЯ ОБСУЖДЕНИЯ</w:t>
      </w:r>
    </w:p>
    <w:p>
      <w:pPr>
        <w:pStyle w:val="ListParagraph"/>
        <w:ind w:left="0" w:hanging="0"/>
        <w:jc w:val="both"/>
        <w:rPr>
          <w:sz w:val="28"/>
          <w:szCs w:val="24"/>
        </w:rPr>
      </w:pPr>
      <w:r>
        <w:rPr>
          <w:sz w:val="28"/>
          <w:szCs w:val="24"/>
        </w:rPr>
        <w:t>1. Какие экологические опасности вы знаете?</w:t>
      </w:r>
    </w:p>
    <w:p>
      <w:pPr>
        <w:pStyle w:val="ListParagraph"/>
        <w:ind w:left="0" w:hanging="0"/>
        <w:jc w:val="both"/>
        <w:rPr>
          <w:sz w:val="28"/>
          <w:szCs w:val="24"/>
        </w:rPr>
      </w:pPr>
      <w:r>
        <w:rPr>
          <w:sz w:val="28"/>
          <w:szCs w:val="24"/>
        </w:rPr>
        <w:t>Занько Н. Г. Безопасность жизнедеятельности: Учебник; Рек. отраслевым</w:t>
      </w:r>
    </w:p>
    <w:p>
      <w:pPr>
        <w:pStyle w:val="ListParagraph"/>
        <w:ind w:left="0" w:hanging="0"/>
        <w:jc w:val="both"/>
        <w:rPr>
          <w:sz w:val="28"/>
          <w:szCs w:val="24"/>
        </w:rPr>
      </w:pPr>
      <w:r>
        <w:rPr>
          <w:sz w:val="28"/>
          <w:szCs w:val="24"/>
        </w:rPr>
        <w:t xml:space="preserve">министерством / Н. Г. Занько, К. Р. Малаян, О. Н. Русак. – Санкт-Петербург: Лань, 2010. – 672 с. – Текст: непосредственный. </w:t>
      </w:r>
      <w:r>
        <w:rPr>
          <w:sz w:val="28"/>
          <w:szCs w:val="24"/>
        </w:rPr>
        <w:t>с. 277</w:t>
      </w:r>
    </w:p>
    <w:p>
      <w:pPr>
        <w:pStyle w:val="ListParagraph"/>
        <w:ind w:left="0" w:hanging="0"/>
        <w:jc w:val="both"/>
        <w:rPr>
          <w:sz w:val="28"/>
          <w:szCs w:val="24"/>
        </w:rPr>
      </w:pPr>
      <w:r>
        <w:rPr>
          <w:sz w:val="28"/>
          <w:szCs w:val="24"/>
        </w:rPr>
        <w:t>Глобальное потепление климата</w:t>
      </w:r>
    </w:p>
    <w:p>
      <w:pPr>
        <w:pStyle w:val="ListParagraph"/>
        <w:ind w:left="0" w:hanging="0"/>
        <w:jc w:val="both"/>
        <w:rPr>
          <w:sz w:val="28"/>
          <w:szCs w:val="24"/>
        </w:rPr>
      </w:pPr>
      <w:r>
        <w:rPr>
          <w:sz w:val="28"/>
          <w:szCs w:val="24"/>
        </w:rPr>
        <w:t>Возникновение озоновых дыр над атмосферой</w:t>
      </w:r>
    </w:p>
    <w:p>
      <w:pPr>
        <w:pStyle w:val="ListParagraph"/>
        <w:ind w:left="0" w:hanging="0"/>
        <w:jc w:val="both"/>
        <w:rPr>
          <w:sz w:val="28"/>
          <w:szCs w:val="24"/>
        </w:rPr>
      </w:pPr>
      <w:r>
        <w:rPr>
          <w:sz w:val="28"/>
          <w:szCs w:val="24"/>
        </w:rPr>
        <w:t>Распрастранение токсикантов</w:t>
      </w:r>
    </w:p>
    <w:p>
      <w:pPr>
        <w:pStyle w:val="ListParagraph"/>
        <w:ind w:left="0" w:hanging="0"/>
        <w:jc w:val="both"/>
        <w:rPr>
          <w:sz w:val="28"/>
          <w:szCs w:val="24"/>
        </w:rPr>
      </w:pPr>
      <w:r>
        <w:rPr>
          <w:sz w:val="28"/>
          <w:szCs w:val="24"/>
        </w:rPr>
        <w:t>Загрязнение воды, воздуха, почвы, продуктов питания вредными химическими соединениями, вымирание многих видов растений и животных, снижение биоразнообразия в результате деятельности растущего населения планеты.</w:t>
      </w:r>
    </w:p>
    <w:p>
      <w:pPr>
        <w:pStyle w:val="ListParagraph"/>
        <w:ind w:left="0" w:hanging="0"/>
        <w:jc w:val="both"/>
        <w:rPr>
          <w:sz w:val="28"/>
          <w:szCs w:val="24"/>
        </w:rPr>
      </w:pPr>
      <w:r>
        <w:rPr/>
      </w:r>
    </w:p>
    <w:p>
      <w:pPr>
        <w:pStyle w:val="ListParagraph"/>
        <w:ind w:left="0" w:hanging="0"/>
        <w:jc w:val="both"/>
        <w:rPr>
          <w:sz w:val="28"/>
          <w:szCs w:val="24"/>
        </w:rPr>
      </w:pPr>
      <w:r>
        <w:rPr>
          <w:sz w:val="28"/>
          <w:szCs w:val="24"/>
        </w:rPr>
        <w:t>2. Раскройте физиологическое и гигиеническое значение воды.</w:t>
      </w:r>
    </w:p>
    <w:p>
      <w:pPr>
        <w:pStyle w:val="ListParagraph"/>
        <w:ind w:left="0" w:hanging="0"/>
        <w:jc w:val="both"/>
        <w:rPr>
          <w:sz w:val="28"/>
          <w:szCs w:val="24"/>
        </w:rPr>
      </w:pPr>
      <w:r>
        <w:rPr>
          <w:sz w:val="28"/>
          <w:szCs w:val="24"/>
        </w:rPr>
        <w:t xml:space="preserve">Там же. с. 299 Без воды не может существовать жизнь. На земле около 70% покрыто морями и океанами это вода солёная. Все наземные экосистемы, включая человеческую зависят от наличия пресной воды, содержащей менее 0.01% солей. </w:t>
      </w:r>
    </w:p>
    <w:p>
      <w:pPr>
        <w:pStyle w:val="ListParagraph"/>
        <w:ind w:left="0" w:hanging="0"/>
        <w:jc w:val="both"/>
        <w:rPr>
          <w:sz w:val="28"/>
          <w:szCs w:val="24"/>
        </w:rPr>
      </w:pPr>
      <w:r>
        <w:rPr>
          <w:sz w:val="28"/>
          <w:szCs w:val="24"/>
        </w:rPr>
        <w:t>физиологическое и гигиеническое значение воды</w:t>
      </w:r>
      <w:r>
        <w:rPr>
          <w:sz w:val="28"/>
          <w:szCs w:val="24"/>
        </w:rPr>
        <w:t>:</w:t>
      </w:r>
    </w:p>
    <w:p>
      <w:pPr>
        <w:pStyle w:val="ListParagraph"/>
        <w:ind w:left="0" w:hanging="0"/>
        <w:jc w:val="both"/>
        <w:rPr>
          <w:sz w:val="28"/>
          <w:szCs w:val="24"/>
        </w:rPr>
      </w:pPr>
      <w:r>
        <w:rPr>
          <w:sz w:val="28"/>
          <w:szCs w:val="24"/>
        </w:rPr>
        <w:t>1. В. Принимает активное участие в физ процессах организма</w:t>
      </w:r>
    </w:p>
    <w:p>
      <w:pPr>
        <w:pStyle w:val="ListParagraph"/>
        <w:ind w:left="0" w:hanging="0"/>
        <w:jc w:val="both"/>
        <w:rPr>
          <w:sz w:val="28"/>
          <w:szCs w:val="24"/>
        </w:rPr>
      </w:pPr>
      <w:r>
        <w:rPr>
          <w:sz w:val="28"/>
          <w:szCs w:val="24"/>
        </w:rPr>
        <w:t>2. Универсальный растворитель газообразных, жидких и твердых в-в</w:t>
      </w:r>
    </w:p>
    <w:p>
      <w:pPr>
        <w:pStyle w:val="ListParagraph"/>
        <w:ind w:left="0" w:hanging="0"/>
        <w:jc w:val="both"/>
        <w:rPr>
          <w:sz w:val="28"/>
          <w:szCs w:val="24"/>
        </w:rPr>
      </w:pPr>
      <w:r>
        <w:rPr>
          <w:sz w:val="28"/>
          <w:szCs w:val="24"/>
        </w:rPr>
        <w:t>3. Участвует в процессах окисления, промежуточного обмена, пищеварения</w:t>
      </w:r>
    </w:p>
    <w:p>
      <w:pPr>
        <w:pStyle w:val="ListParagraph"/>
        <w:ind w:left="0" w:hanging="0"/>
        <w:jc w:val="both"/>
        <w:rPr>
          <w:sz w:val="28"/>
          <w:szCs w:val="24"/>
        </w:rPr>
      </w:pPr>
      <w:r>
        <w:rPr>
          <w:sz w:val="28"/>
          <w:szCs w:val="24"/>
        </w:rPr>
        <w:t>4. Растворённые мин. Соли — поддержание биологич. Констант — осмотического давления, кислотно-щелощного равновесия.</w:t>
      </w:r>
    </w:p>
    <w:p>
      <w:pPr>
        <w:pStyle w:val="ListParagraph"/>
        <w:ind w:left="0" w:hanging="0"/>
        <w:jc w:val="both"/>
        <w:rPr>
          <w:sz w:val="28"/>
          <w:szCs w:val="24"/>
        </w:rPr>
      </w:pPr>
      <w:r>
        <w:rPr>
          <w:sz w:val="28"/>
          <w:szCs w:val="24"/>
        </w:rPr>
        <w:t>5. Является участником гидролиза жиров, углеводов</w:t>
      </w:r>
    </w:p>
    <w:p>
      <w:pPr>
        <w:pStyle w:val="ListParagraph"/>
        <w:ind w:left="0" w:hanging="0"/>
        <w:jc w:val="both"/>
        <w:rPr>
          <w:sz w:val="28"/>
          <w:szCs w:val="24"/>
        </w:rPr>
      </w:pPr>
      <w:r>
        <w:rPr>
          <w:sz w:val="28"/>
          <w:szCs w:val="24"/>
        </w:rPr>
        <w:t>6. Обеспечивает тургор кожи и тканей организма.</w:t>
      </w:r>
    </w:p>
    <w:p>
      <w:pPr>
        <w:pStyle w:val="ListParagraph"/>
        <w:ind w:left="0" w:hanging="0"/>
        <w:jc w:val="both"/>
        <w:rPr>
          <w:sz w:val="28"/>
          <w:szCs w:val="24"/>
        </w:rPr>
      </w:pPr>
      <w:r>
        <w:rPr>
          <w:sz w:val="28"/>
          <w:szCs w:val="24"/>
        </w:rPr>
        <w:t>7. Потеря воды 10% от массы тела приводит к нарушению обмена веществ.</w:t>
      </w:r>
    </w:p>
    <w:p>
      <w:pPr>
        <w:pStyle w:val="ListParagraph"/>
        <w:ind w:left="0" w:hanging="0"/>
        <w:jc w:val="both"/>
        <w:rPr>
          <w:sz w:val="28"/>
          <w:szCs w:val="24"/>
        </w:rPr>
      </w:pPr>
      <w:r>
        <w:rPr>
          <w:sz w:val="28"/>
          <w:szCs w:val="24"/>
        </w:rPr>
        <w:t>8. От минерализации воды зависит состояние здоровья людей. (см. Аудиозапись) слабая и сильная минерализация приводит к нарушению</w:t>
      </w:r>
    </w:p>
    <w:p>
      <w:pPr>
        <w:pStyle w:val="ListParagraph"/>
        <w:ind w:left="0" w:hanging="0"/>
        <w:jc w:val="both"/>
        <w:rPr>
          <w:sz w:val="28"/>
          <w:szCs w:val="24"/>
        </w:rPr>
      </w:pPr>
      <w:r>
        <w:rPr>
          <w:sz w:val="28"/>
          <w:szCs w:val="24"/>
        </w:rPr>
        <w:t>водно-солевого равновесия организма. Это связана с содержанием натрия и магния.</w:t>
      </w:r>
    </w:p>
    <w:p>
      <w:pPr>
        <w:pStyle w:val="ListParagraph"/>
        <w:ind w:left="0" w:hanging="0"/>
        <w:jc w:val="both"/>
        <w:rPr>
          <w:sz w:val="28"/>
          <w:szCs w:val="24"/>
        </w:rPr>
      </w:pPr>
      <w:r>
        <w:rPr>
          <w:sz w:val="28"/>
          <w:szCs w:val="24"/>
        </w:rPr>
        <w:t>9. Состояние вод и заболеваемость населения тесно связаны. Через воду распрастраняются лямблии, вибрионы, кишечная палочка, микобактерии, шигеллы и прочее.</w:t>
      </w:r>
    </w:p>
    <w:p>
      <w:pPr>
        <w:pStyle w:val="ListParagraph"/>
        <w:ind w:left="0" w:hanging="0"/>
        <w:jc w:val="both"/>
        <w:rPr>
          <w:sz w:val="28"/>
          <w:szCs w:val="24"/>
        </w:rPr>
      </w:pPr>
      <w:r>
        <w:rPr/>
      </w:r>
    </w:p>
    <w:p>
      <w:pPr>
        <w:pStyle w:val="ListParagraph"/>
        <w:ind w:left="0" w:hanging="0"/>
        <w:jc w:val="both"/>
        <w:rPr>
          <w:sz w:val="28"/>
          <w:szCs w:val="24"/>
        </w:rPr>
      </w:pPr>
      <w:r>
        <w:rPr>
          <w:sz w:val="28"/>
          <w:szCs w:val="24"/>
        </w:rPr>
        <w:t>3. Какова роль почвы как фактора среды обитания?</w:t>
      </w:r>
    </w:p>
    <w:p>
      <w:pPr>
        <w:pStyle w:val="Normal"/>
        <w:jc w:val="both"/>
        <w:rPr>
          <w:sz w:val="28"/>
          <w:szCs w:val="24"/>
        </w:rPr>
      </w:pPr>
      <w:r>
        <w:rPr>
          <w:sz w:val="28"/>
          <w:szCs w:val="24"/>
        </w:rPr>
        <w:t>4. Приведите классификацию вредных для здоровья пищевых добавок, применяемых для окрашивания и консервирования продуктов.</w:t>
      </w:r>
    </w:p>
    <w:p>
      <w:pPr>
        <w:pStyle w:val="Normal"/>
        <w:spacing w:lineRule="auto" w:line="360"/>
        <w:jc w:val="center"/>
        <w:rPr>
          <w:rFonts w:eastAsia="Times New Roman"/>
          <w:b/>
          <w:b/>
          <w:sz w:val="28"/>
          <w:szCs w:val="28"/>
          <w:u w:val="single"/>
        </w:rPr>
      </w:pPr>
      <w:r>
        <w:rPr>
          <w:rFonts w:eastAsia="Times New Roman"/>
          <w:b/>
          <w:sz w:val="28"/>
          <w:szCs w:val="28"/>
          <w:u w:val="single"/>
        </w:rPr>
        <w:t>Семинарское занятие</w:t>
      </w:r>
    </w:p>
    <w:p>
      <w:pPr>
        <w:pStyle w:val="Normal"/>
        <w:spacing w:lineRule="auto" w:line="360"/>
        <w:ind w:firstLine="709"/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4"/>
        </w:rPr>
        <w:t>Оценочные средства</w:t>
      </w:r>
      <w:r>
        <w:rPr>
          <w:sz w:val="28"/>
          <w:szCs w:val="24"/>
        </w:rPr>
        <w:t xml:space="preserve">: </w:t>
      </w:r>
      <w:r>
        <w:rPr>
          <w:sz w:val="28"/>
          <w:szCs w:val="20"/>
        </w:rPr>
        <w:t>Темы докладов, презентации, участие в дискуссии</w:t>
      </w:r>
    </w:p>
    <w:tbl>
      <w:tblPr>
        <w:tblStyle w:val="a9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/>
        <w:tc>
          <w:tcPr>
            <w:tcW w:w="9026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b/>
                <w:b/>
                <w:color w:val="FF0000"/>
                <w:sz w:val="28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kern w:val="0"/>
                <w:sz w:val="28"/>
                <w:szCs w:val="24"/>
                <w:lang w:val="ru-RU" w:eastAsia="en-US" w:bidi="ar-SA"/>
              </w:rPr>
              <w:t>Раздел</w:t>
            </w:r>
          </w:p>
        </w:tc>
      </w:tr>
      <w:tr>
        <w:trPr/>
        <w:tc>
          <w:tcPr>
            <w:tcW w:w="9026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eastAsia="Calibri" w:cs="Times New Roman"/>
                <w:kern w:val="0"/>
                <w:sz w:val="28"/>
                <w:szCs w:val="24"/>
                <w:lang w:val="ru-RU" w:eastAsia="en-US" w:bidi="ar-SA"/>
              </w:rPr>
              <w:t>Факторы риска.</w:t>
            </w:r>
          </w:p>
        </w:tc>
      </w:tr>
    </w:tbl>
    <w:p>
      <w:pPr>
        <w:pStyle w:val="Normal"/>
        <w:spacing w:lineRule="atLeast" w:line="23"/>
        <w:ind w:right="-52" w:hanging="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ind w:firstLine="709"/>
        <w:jc w:val="center"/>
        <w:rPr>
          <w:b/>
          <w:b/>
          <w:color w:val="FF0000"/>
          <w:sz w:val="28"/>
          <w:szCs w:val="24"/>
        </w:rPr>
      </w:pPr>
      <w:r>
        <w:rPr>
          <w:b/>
          <w:color w:val="FF0000"/>
          <w:sz w:val="28"/>
          <w:szCs w:val="24"/>
        </w:rPr>
        <w:t>Литература для подготовки:</w:t>
      </w:r>
    </w:p>
    <w:tbl>
      <w:tblPr>
        <w:tblStyle w:val="a9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/>
        <w:tc>
          <w:tcPr>
            <w:tcW w:w="9026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 xml:space="preserve">ОЛ (Основная литература. См. в папке литература) -1; </w:t>
            </w:r>
          </w:p>
          <w:p>
            <w:pPr>
              <w:pStyle w:val="ListParagraph"/>
              <w:widowControl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 xml:space="preserve">ДЛ (Дополнительная литература. См. в папке литература) -2. </w:t>
            </w:r>
          </w:p>
        </w:tc>
      </w:tr>
    </w:tbl>
    <w:p>
      <w:pPr>
        <w:pStyle w:val="ListParagraph"/>
        <w:widowControl w:val="false"/>
        <w:ind w:left="0" w:hanging="0"/>
        <w:jc w:val="both"/>
        <w:rPr>
          <w:sz w:val="28"/>
          <w:szCs w:val="24"/>
        </w:rPr>
      </w:pPr>
      <w:r>
        <w:rPr>
          <w:sz w:val="28"/>
          <w:szCs w:val="24"/>
        </w:rPr>
        <w:t>ВОПРОСЫ ДЛЯ ОБСУЖДЕНИЯ</w:t>
      </w:r>
    </w:p>
    <w:p>
      <w:pPr>
        <w:pStyle w:val="ListParagraph"/>
        <w:widowControl w:val="false"/>
        <w:ind w:left="0" w:hanging="0"/>
        <w:jc w:val="both"/>
        <w:rPr>
          <w:sz w:val="28"/>
          <w:szCs w:val="24"/>
        </w:rPr>
      </w:pPr>
      <w:r>
        <w:rPr>
          <w:sz w:val="28"/>
          <w:szCs w:val="24"/>
        </w:rPr>
        <w:t>1. Различия опасности и фактора.</w:t>
      </w:r>
    </w:p>
    <w:p>
      <w:pPr>
        <w:pStyle w:val="ListParagraph"/>
        <w:widowControl w:val="false"/>
        <w:ind w:left="0" w:hanging="0"/>
        <w:jc w:val="both"/>
        <w:rPr>
          <w:sz w:val="28"/>
          <w:szCs w:val="24"/>
        </w:rPr>
      </w:pPr>
      <w:r>
        <w:rPr>
          <w:sz w:val="28"/>
          <w:szCs w:val="24"/>
        </w:rPr>
        <w:t>2. Человек и окружающая среда.</w:t>
      </w:r>
    </w:p>
    <w:p>
      <w:pPr>
        <w:pStyle w:val="ListParagraph"/>
        <w:widowControl w:val="false"/>
        <w:ind w:left="0" w:hanging="0"/>
        <w:jc w:val="both"/>
        <w:rPr>
          <w:sz w:val="28"/>
          <w:szCs w:val="24"/>
        </w:rPr>
      </w:pPr>
      <w:r>
        <w:rPr>
          <w:sz w:val="28"/>
          <w:szCs w:val="24"/>
        </w:rPr>
        <w:t>3. Человек и рабочее место.</w:t>
      </w:r>
    </w:p>
    <w:p>
      <w:pPr>
        <w:pStyle w:val="Normal"/>
        <w:jc w:val="both"/>
        <w:rPr>
          <w:sz w:val="28"/>
          <w:szCs w:val="24"/>
        </w:rPr>
      </w:pPr>
      <w:r>
        <w:rPr>
          <w:sz w:val="28"/>
          <w:szCs w:val="24"/>
        </w:rPr>
        <w:t>4. Концепция приемлемого риска.</w:t>
      </w:r>
    </w:p>
    <w:p>
      <w:pPr>
        <w:pStyle w:val="Normal"/>
        <w:spacing w:lineRule="auto" w:line="360"/>
        <w:jc w:val="center"/>
        <w:rPr>
          <w:rFonts w:eastAsia="Times New Roman"/>
          <w:b/>
          <w:b/>
          <w:sz w:val="28"/>
          <w:szCs w:val="28"/>
          <w:u w:val="single"/>
        </w:rPr>
      </w:pPr>
      <w:r>
        <w:rPr>
          <w:rFonts w:eastAsia="Times New Roman"/>
          <w:b/>
          <w:sz w:val="28"/>
          <w:szCs w:val="28"/>
          <w:u w:val="single"/>
        </w:rPr>
        <w:t>Семинарское занятие</w:t>
      </w:r>
    </w:p>
    <w:p>
      <w:pPr>
        <w:pStyle w:val="Normal"/>
        <w:spacing w:lineRule="auto" w:line="360"/>
        <w:ind w:firstLine="709"/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4"/>
        </w:rPr>
        <w:t>Оценочные средства</w:t>
      </w:r>
      <w:r>
        <w:rPr>
          <w:sz w:val="28"/>
          <w:szCs w:val="24"/>
        </w:rPr>
        <w:t xml:space="preserve">: </w:t>
      </w:r>
      <w:r>
        <w:rPr>
          <w:sz w:val="28"/>
          <w:szCs w:val="20"/>
        </w:rPr>
        <w:t>Темы докладов, презентации, участие в дискуссии</w:t>
      </w:r>
    </w:p>
    <w:tbl>
      <w:tblPr>
        <w:tblStyle w:val="a9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/>
        <w:tc>
          <w:tcPr>
            <w:tcW w:w="9026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b/>
                <w:b/>
                <w:color w:val="FF0000"/>
                <w:sz w:val="28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kern w:val="0"/>
                <w:sz w:val="28"/>
                <w:szCs w:val="24"/>
                <w:lang w:val="ru-RU" w:eastAsia="en-US" w:bidi="ar-SA"/>
              </w:rPr>
              <w:t>Раздел</w:t>
            </w:r>
          </w:p>
        </w:tc>
      </w:tr>
      <w:tr>
        <w:trPr/>
        <w:tc>
          <w:tcPr>
            <w:tcW w:w="9026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eastAsia="Calibri" w:cs="Times New Roman"/>
                <w:kern w:val="0"/>
                <w:sz w:val="28"/>
                <w:szCs w:val="24"/>
                <w:lang w:val="ru-RU" w:eastAsia="en-US" w:bidi="ar-SA"/>
              </w:rPr>
              <w:t>Основные приёмы обеспечения безопасности и оказания первой помощи</w:t>
            </w: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.</w:t>
            </w:r>
          </w:p>
        </w:tc>
      </w:tr>
    </w:tbl>
    <w:p>
      <w:pPr>
        <w:pStyle w:val="Normal"/>
        <w:spacing w:lineRule="atLeast" w:line="23"/>
        <w:ind w:right="-52" w:hanging="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ind w:firstLine="709"/>
        <w:jc w:val="center"/>
        <w:rPr>
          <w:b/>
          <w:b/>
          <w:color w:val="FF0000"/>
          <w:sz w:val="28"/>
          <w:szCs w:val="24"/>
        </w:rPr>
      </w:pPr>
      <w:r>
        <w:rPr>
          <w:b/>
          <w:color w:val="FF0000"/>
          <w:sz w:val="28"/>
          <w:szCs w:val="24"/>
        </w:rPr>
        <w:t>Литература для подготовки:</w:t>
      </w:r>
    </w:p>
    <w:tbl>
      <w:tblPr>
        <w:tblStyle w:val="a9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/>
        <w:tc>
          <w:tcPr>
            <w:tcW w:w="9026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 xml:space="preserve">ОЛ (Основная литература. См. в папке литература) -1; </w:t>
            </w:r>
          </w:p>
          <w:p>
            <w:pPr>
              <w:pStyle w:val="ListParagraph"/>
              <w:widowControl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 xml:space="preserve">ДЛ (Дополнительная литература. См. в папке литература) -2. </w:t>
            </w:r>
          </w:p>
        </w:tc>
      </w:tr>
    </w:tbl>
    <w:p>
      <w:pPr>
        <w:pStyle w:val="ListParagraph"/>
        <w:ind w:left="0" w:hanging="0"/>
        <w:jc w:val="both"/>
        <w:rPr>
          <w:sz w:val="28"/>
          <w:szCs w:val="24"/>
        </w:rPr>
      </w:pPr>
      <w:r>
        <w:rPr>
          <w:sz w:val="28"/>
          <w:szCs w:val="24"/>
        </w:rPr>
        <w:t>ВОПРОСЫ ДЛЯ ОБСУЖДЕНИЯ</w:t>
      </w:r>
    </w:p>
    <w:p>
      <w:pPr>
        <w:pStyle w:val="Normal"/>
        <w:jc w:val="both"/>
        <w:rPr>
          <w:sz w:val="28"/>
          <w:szCs w:val="24"/>
        </w:rPr>
      </w:pPr>
      <w:r>
        <w:rPr>
          <w:sz w:val="28"/>
          <w:szCs w:val="24"/>
        </w:rPr>
        <w:t>1. Травматизм.</w:t>
      </w:r>
    </w:p>
    <w:p>
      <w:pPr>
        <w:pStyle w:val="Normal"/>
        <w:jc w:val="both"/>
        <w:rPr>
          <w:sz w:val="28"/>
          <w:szCs w:val="24"/>
        </w:rPr>
      </w:pPr>
      <w:r>
        <w:rPr>
          <w:sz w:val="28"/>
          <w:szCs w:val="24"/>
        </w:rPr>
        <w:t>2. Инвалидность.</w:t>
      </w:r>
    </w:p>
    <w:p>
      <w:pPr>
        <w:pStyle w:val="Normal"/>
        <w:jc w:val="both"/>
        <w:rPr>
          <w:rFonts w:eastAsia="Times New Roman"/>
          <w:bCs/>
          <w:sz w:val="36"/>
          <w:szCs w:val="24"/>
        </w:rPr>
      </w:pPr>
      <w:r>
        <w:rPr>
          <w:sz w:val="28"/>
          <w:szCs w:val="24"/>
        </w:rPr>
        <w:t>3. Летальный исход.</w:t>
      </w:r>
    </w:p>
    <w:sectPr>
      <w:type w:val="nextPage"/>
      <w:pgSz w:w="11906" w:h="16838"/>
      <w:pgMar w:left="1440" w:right="1440" w:gutter="0" w:header="0" w:top="709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imbus Roman"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  <w:font w:name="Nimbus San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" w:cs="Times New Roman" w:eastAsiaTheme="minorEastAsia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1103b"/>
    <w:pPr>
      <w:widowControl/>
      <w:bidi w:val="0"/>
      <w:spacing w:before="0" w:after="0"/>
      <w:jc w:val="left"/>
    </w:pPr>
    <w:rPr>
      <w:rFonts w:ascii="Times New Roman" w:hAnsi="Times New Roman" w:eastAsia="" w:cs="Times New Roman" w:eastAsiaTheme="minorEastAsia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character" w:styleId="Style15" w:customStyle="1">
    <w:name w:val="Текст выноски Знак"/>
    <w:basedOn w:val="DefaultParagraphFont"/>
    <w:link w:val="BalloonText"/>
    <w:uiPriority w:val="99"/>
    <w:semiHidden/>
    <w:qFormat/>
    <w:rsid w:val="00205338"/>
    <w:rPr>
      <w:rFonts w:ascii="Segoe UI" w:hAnsi="Segoe UI" w:cs="Segoe UI"/>
      <w:sz w:val="18"/>
      <w:szCs w:val="18"/>
    </w:rPr>
  </w:style>
  <w:style w:type="character" w:styleId="Style16" w:customStyle="1">
    <w:name w:val="Абзац списка Знак"/>
    <w:link w:val="ListParagraph"/>
    <w:uiPriority w:val="34"/>
    <w:qFormat/>
    <w:locked/>
    <w:rsid w:val="008e6547"/>
    <w:rPr/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Nimbus Sans" w:hAnsi="Nimbus Sans" w:eastAsia="Nimbus Sans" w:cs="FreeSans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FreeSans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FreeSans"/>
      <w:lang w:val="zxx" w:eastAsia="zxx" w:bidi="zxx"/>
    </w:rPr>
  </w:style>
  <w:style w:type="paragraph" w:styleId="ListParagraph">
    <w:name w:val="List Paragraph"/>
    <w:basedOn w:val="Normal"/>
    <w:link w:val="Style16"/>
    <w:uiPriority w:val="34"/>
    <w:qFormat/>
    <w:rsid w:val="0021103b"/>
    <w:pPr>
      <w:spacing w:before="0" w:after="0"/>
      <w:ind w:left="720" w:hanging="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7530e2"/>
    <w:pPr/>
    <w:rPr>
      <w:sz w:val="24"/>
      <w:szCs w:val="24"/>
    </w:rPr>
  </w:style>
  <w:style w:type="paragraph" w:styleId="BalloonText">
    <w:name w:val="Balloon Text"/>
    <w:basedOn w:val="Normal"/>
    <w:link w:val="Style15"/>
    <w:uiPriority w:val="99"/>
    <w:semiHidden/>
    <w:unhideWhenUsed/>
    <w:qFormat/>
    <w:rsid w:val="00205338"/>
    <w:pPr/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1"/>
    <w:uiPriority w:val="59"/>
    <w:rsid w:val="00f8232b"/>
    <w:rPr>
      <w:rFonts w:asciiTheme="minorHAnsi" w:hAnsiTheme="minorHAnsi" w:eastAsiaTheme="minorHAnsi" w:cstheme="minorBidi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Application>LibreOffice/7.4.2.3$Linux_X86_64 LibreOffice_project/40$Build-3</Application>
  <AppVersion>15.0000</AppVersion>
  <Pages>3</Pages>
  <Words>391</Words>
  <Characters>2666</Characters>
  <CharactersWithSpaces>3014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2021-08-26T10:33:00Z</dcterms:created>
  <dc:creator>Windows User</dc:creator>
  <dc:description/>
  <dc:language>ru-RU</dc:language>
  <cp:lastModifiedBy/>
  <cp:lastPrinted>2019-02-21T12:38:00Z</cp:lastPrinted>
  <dcterms:modified xsi:type="dcterms:W3CDTF">2022-10-17T03:10:26Z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