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75"/>
        <w:gridCol w:w="5851"/>
      </w:tblGrid>
      <w:tr>
        <w:trPr>
          <w:trHeight w:val="3625" w:hRule="atLeast"/>
        </w:trPr>
        <w:tc>
          <w:tcPr>
            <w:tcW w:w="9026" w:type="dxa"/>
            <w:gridSpan w:val="2"/>
            <w:tcBorders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Государственное частное учреждение – </w:t>
            </w:r>
          </w:p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образовательная организация высшего образования </w:t>
            </w:r>
          </w:p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«Миссионерский институт» Кафедра теологии</w:t>
            </w:r>
          </w:p>
        </w:tc>
      </w:tr>
      <w:tr>
        <w:trPr>
          <w:trHeight w:val="2825" w:hRule="atLeast"/>
        </w:trPr>
        <w:tc>
          <w:tcPr>
            <w:tcW w:w="9026" w:type="dxa"/>
            <w:gridSpan w:val="2"/>
            <w:tcBorders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Лабораторная работа</w:t>
            </w:r>
          </w:p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Сравнительное богословие</w:t>
            </w:r>
          </w:p>
        </w:tc>
      </w:tr>
      <w:tr>
        <w:trPr>
          <w:trHeight w:val="7550" w:hRule="atLeast"/>
        </w:trPr>
        <w:tc>
          <w:tcPr>
            <w:tcW w:w="3175" w:type="dxa"/>
            <w:tcBorders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5851" w:type="dxa"/>
            <w:tcBorders/>
          </w:tcPr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Студента 5 курса (517 гр.) </w:t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заочной формы обучения</w:t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направление подготовки: 48.03.01 Теология </w:t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(программа бакалавриата)</w:t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направленность «Православная теология»</w:t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Назарова Кирилла Ильича</w:t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r>
              <w:rPr>
                <w:sz w:val="28"/>
                <w:szCs w:val="28"/>
              </w:rPr>
              <w:t>зачётной книжки: 200038</w:t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Контактный телефон: 8 953 825 41 76</w:t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Преподаватель: </w:t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Алексеев Сергей Вяеславович</w:t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(канд. богословия)</w:t>
            </w:r>
          </w:p>
          <w:p>
            <w:pPr>
              <w:pStyle w:val="Normal"/>
              <w:spacing w:lineRule="auto" w:line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prot_Sergiy@mail.ru</w:t>
            </w:r>
          </w:p>
        </w:tc>
      </w:tr>
      <w:tr>
        <w:trPr/>
        <w:tc>
          <w:tcPr>
            <w:tcW w:w="9026" w:type="dxa"/>
            <w:gridSpan w:val="2"/>
            <w:tcBorders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Екатеринбург 202</w:t>
            </w:r>
            <w:r>
              <w:rPr>
                <w:sz w:val="28"/>
                <w:szCs w:val="28"/>
              </w:rPr>
              <w:t>3</w:t>
            </w:r>
          </w:p>
        </w:tc>
      </w:tr>
    </w:tbl>
    <w:p>
      <w:pPr>
        <w:pStyle w:val="Normal"/>
        <w:spacing w:lineRule="auto" w:line="360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Сравнительное богословие</w:t>
      </w:r>
    </w:p>
    <w:p>
      <w:pPr>
        <w:pStyle w:val="Normal"/>
        <w:spacing w:lineRule="auto" w:line="360"/>
        <w:jc w:val="center"/>
        <w:rPr>
          <w:rFonts w:eastAsia="Times New Roman"/>
          <w:b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Лабораторная работа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(Курс 5, семестр 9)</w:t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(заочной формы обучения)</w:t>
      </w:r>
    </w:p>
    <w:p>
      <w:pPr>
        <w:pStyle w:val="Normal"/>
        <w:spacing w:lineRule="auto" w:line="360"/>
        <w:ind w:firstLine="709"/>
        <w:jc w:val="both"/>
        <w:rPr>
          <w:color w:val="FF0000"/>
          <w:sz w:val="40"/>
          <w:szCs w:val="24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 xml:space="preserve">: </w:t>
      </w:r>
      <w:r>
        <w:rPr>
          <w:sz w:val="28"/>
        </w:rPr>
        <w:t>Устный опрос, анализ источников, участие в дискуссиях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b/>
                <w:color w:val="FF0000"/>
                <w:sz w:val="28"/>
                <w:szCs w:val="24"/>
              </w:rPr>
            </w:pPr>
            <w:r>
              <w:rPr>
                <w:rFonts w:eastAsia="Calibri" w:cs="Times New Roman"/>
                <w:color w:val="FF0000"/>
                <w:kern w:val="0"/>
                <w:sz w:val="28"/>
                <w:szCs w:val="22"/>
                <w:lang w:val="ru-RU" w:eastAsia="en-US" w:bidi="ar-SA"/>
              </w:rPr>
              <w:t>Тема 11.</w:t>
            </w:r>
          </w:p>
        </w:tc>
      </w:tr>
      <w:tr>
        <w:trPr>
          <w:trHeight w:val="70" w:hRule="atLeast"/>
        </w:trPr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2"/>
                <w:lang w:val="ru-RU" w:eastAsia="en-US" w:bidi="ar-SA"/>
              </w:rPr>
              <w:t>Современное протестантское богословие.</w:t>
            </w:r>
          </w:p>
        </w:tc>
      </w:tr>
    </w:tbl>
    <w:p>
      <w:pPr>
        <w:pStyle w:val="Normal"/>
        <w:spacing w:lineRule="auto" w:line="360"/>
        <w:ind w:firstLine="709"/>
        <w:jc w:val="center"/>
        <w:rPr>
          <w:b/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</w:r>
    </w:p>
    <w:p>
      <w:pPr>
        <w:pStyle w:val="Normal"/>
        <w:spacing w:lineRule="auto" w:line="360"/>
        <w:jc w:val="center"/>
        <w:rPr>
          <w:b/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ОЛ (Основная литература. См. в папке литература) -1; ОЛ – 2; ОЛ – 4;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ДЛ (Дополнительная литература. См. в папке литература) -1; ДЛ – 4.</w:t>
            </w:r>
          </w:p>
        </w:tc>
      </w:tr>
    </w:tbl>
    <w:p>
      <w:pPr>
        <w:pStyle w:val="ListParagraph"/>
        <w:ind w:left="0" w:hanging="14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0" w:hanging="0"/>
        <w:jc w:val="center"/>
        <w:rPr>
          <w:sz w:val="28"/>
          <w:szCs w:val="28"/>
        </w:rPr>
      </w:pPr>
      <w:r>
        <w:rPr>
          <w:sz w:val="28"/>
          <w:szCs w:val="28"/>
        </w:rPr>
        <w:t>ВОПРОСЫ ДЛЯ ОБСУЖДЕНИЯ</w:t>
      </w:r>
    </w:p>
    <w:p>
      <w:pPr>
        <w:pStyle w:val="ListParagraph"/>
        <w:ind w:left="0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Дитрих Бонхёффер</w:t>
      </w:r>
    </w:p>
    <w:p>
      <w:pPr>
        <w:pStyle w:val="ListParagraph"/>
        <w:ind w:left="0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«Сопротивление и покорность»</w:t>
      </w:r>
    </w:p>
    <w:p>
      <w:pPr>
        <w:pStyle w:val="ListParagraph"/>
        <w:ind w:left="0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8"/>
        </w:rPr>
      </w:pPr>
      <w:bookmarkStart w:id="0" w:name="_GoBack"/>
      <w:r>
        <w:rPr>
          <w:sz w:val="28"/>
          <w:szCs w:val="28"/>
        </w:rPr>
        <w:t>6. Дайте определение «совершеннолетнего мира» по Бонхёфферу.</w:t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7. Согласны ли Вы с концепцией Бога по Бонхёфферу?</w:t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8. Что есть христианство по Бонхёфферу?</w:t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9. Безрелигиозное христианство: за и против.</w:t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8"/>
        </w:rPr>
      </w:pPr>
      <w:bookmarkStart w:id="1" w:name="_GoBack"/>
      <w:r>
        <w:rPr>
          <w:sz w:val="28"/>
          <w:szCs w:val="28"/>
        </w:rPr>
        <w:t>10. Можно ли назвать безрелигиозное христианство религией эпохи постмодерна?</w:t>
      </w:r>
      <w:bookmarkEnd w:id="1"/>
    </w:p>
    <w:sect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103b"/>
    <w:pPr>
      <w:widowControl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205338"/>
    <w:rPr>
      <w:rFonts w:ascii="Segoe UI" w:hAnsi="Segoe UI" w:cs="Segoe UI"/>
      <w:sz w:val="18"/>
      <w:szCs w:val="18"/>
    </w:rPr>
  </w:style>
  <w:style w:type="character" w:styleId="Style16" w:customStyle="1">
    <w:name w:val="Абзац списка Знак"/>
    <w:link w:val="ListParagraph"/>
    <w:uiPriority w:val="34"/>
    <w:qFormat/>
    <w:locked/>
    <w:rsid w:val="008e6547"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FreeSan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link w:val="Style16"/>
    <w:uiPriority w:val="34"/>
    <w:qFormat/>
    <w:rsid w:val="0021103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530e2"/>
    <w:pPr/>
    <w:rPr>
      <w:sz w:val="24"/>
      <w:szCs w:val="24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205338"/>
    <w:pPr/>
    <w:rPr>
      <w:rFonts w:ascii="Segoe UI" w:hAnsi="Segoe UI" w:cs="Segoe UI"/>
      <w:sz w:val="18"/>
      <w:szCs w:val="18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8232b"/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LibreOffice/7.4.3.2$Linux_X86_64 LibreOffice_project/40$Build-2</Application>
  <AppVersion>15.0000</AppVersion>
  <Pages>2</Pages>
  <Words>150</Words>
  <Characters>1078</Characters>
  <CharactersWithSpaces>1202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2022-09-10T08:45:00Z</dcterms:created>
  <dc:creator>Windows User</dc:creator>
  <dc:description/>
  <dc:language>ru-RU</dc:language>
  <cp:lastModifiedBy>Кирилл Ильич Назаров</cp:lastModifiedBy>
  <cp:lastPrinted>2019-02-21T12:38:00Z</cp:lastPrinted>
  <dcterms:modified xsi:type="dcterms:W3CDTF">2023-01-26T11:24:41Z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