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u w:val="none"/>
        </w:rPr>
      </w:pPr>
      <w:r>
        <w:rPr>
          <w:u w:val="none"/>
        </w:rPr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u w:val="none"/>
        </w:rPr>
      </w:pPr>
      <w:r>
        <w:rPr>
          <w:rFonts w:eastAsia="Times New Roman"/>
          <w:color w:val="FF0000"/>
          <w:sz w:val="28"/>
          <w:szCs w:val="28"/>
          <w:u w:val="none"/>
        </w:rPr>
        <w:t>Научная апологетика Православия</w:t>
      </w:r>
    </w:p>
    <w:p>
      <w:pPr>
        <w:pStyle w:val="Normal"/>
        <w:spacing w:lineRule="auto" w:line="360"/>
        <w:jc w:val="center"/>
        <w:rPr>
          <w:u w:val="none"/>
        </w:rPr>
      </w:pPr>
      <w:r>
        <w:rPr>
          <w:rFonts w:eastAsia="Times New Roman"/>
          <w:b/>
          <w:sz w:val="28"/>
          <w:szCs w:val="28"/>
          <w:u w:val="none"/>
        </w:rPr>
        <w:t>Лабораторная работа</w:t>
      </w:r>
    </w:p>
    <w:p>
      <w:pPr>
        <w:pStyle w:val="Normal"/>
        <w:spacing w:lineRule="auto" w:line="360"/>
        <w:jc w:val="center"/>
        <w:rPr>
          <w:u w:val="none"/>
        </w:rPr>
      </w:pPr>
      <w:r>
        <w:rPr>
          <w:rFonts w:eastAsia="Times New Roman"/>
          <w:sz w:val="28"/>
          <w:szCs w:val="28"/>
          <w:u w:val="none"/>
        </w:rPr>
        <w:t xml:space="preserve"> </w:t>
      </w:r>
      <w:r>
        <w:rPr>
          <w:rFonts w:eastAsia="Times New Roman"/>
          <w:sz w:val="28"/>
          <w:szCs w:val="28"/>
          <w:u w:val="none"/>
        </w:rPr>
        <w:t>(Курс 5, семестр 9)</w:t>
      </w:r>
    </w:p>
    <w:p>
      <w:pPr>
        <w:pStyle w:val="Normal"/>
        <w:spacing w:lineRule="auto" w:line="360"/>
        <w:jc w:val="center"/>
        <w:rPr>
          <w:u w:val="none"/>
        </w:rPr>
      </w:pPr>
      <w:r>
        <w:rPr>
          <w:b/>
          <w:sz w:val="28"/>
          <w:szCs w:val="28"/>
          <w:u w:val="none"/>
        </w:rPr>
        <w:t>(заочной формы обучения)</w:t>
      </w:r>
    </w:p>
    <w:p>
      <w:pPr>
        <w:pStyle w:val="Normal"/>
        <w:spacing w:lineRule="auto" w:line="360"/>
        <w:ind w:firstLine="709"/>
        <w:jc w:val="both"/>
        <w:rPr>
          <w:u w:val="none"/>
        </w:rPr>
      </w:pPr>
      <w:r>
        <w:rPr>
          <w:color w:val="FF0000"/>
          <w:sz w:val="28"/>
          <w:szCs w:val="24"/>
          <w:u w:val="none"/>
        </w:rPr>
        <w:t>Оценочные средства</w:t>
      </w:r>
      <w:r>
        <w:rPr>
          <w:sz w:val="28"/>
          <w:szCs w:val="24"/>
          <w:u w:val="none"/>
        </w:rPr>
        <w:t xml:space="preserve">: </w:t>
      </w:r>
      <w:r>
        <w:rPr>
          <w:bCs/>
          <w:sz w:val="28"/>
          <w:szCs w:val="20"/>
          <w:u w:val="none"/>
        </w:rPr>
        <w:t>Работа с интернетом, работа в группе, анализ больших фрагментов текста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eastAsia="Calibri"/>
                <w:kern w:val="0"/>
                <w:u w:val="none"/>
                <w:lang w:val="ru-RU" w:eastAsia="en-US" w:bidi="ar-SA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u w:val="none"/>
                <w:lang w:val="ru-RU" w:eastAsia="en-US" w:bidi="ar-SA"/>
              </w:rPr>
              <w:t>Раздел</w:t>
            </w:r>
          </w:p>
        </w:tc>
      </w:tr>
      <w:tr>
        <w:trPr>
          <w:trHeight w:val="70" w:hRule="atLeast"/>
        </w:trPr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eastAsia="Calibri"/>
                <w:kern w:val="0"/>
                <w:szCs w:val="22"/>
                <w:u w:val="none"/>
                <w:lang w:val="ru-RU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32"/>
                <w:szCs w:val="22"/>
                <w:u w:val="none"/>
                <w:lang w:val="ru-RU" w:eastAsia="en-US" w:bidi="ar-SA"/>
              </w:rPr>
              <w:t>Тема 2. Феноменология веры. Вера и разум.</w:t>
            </w:r>
          </w:p>
        </w:tc>
      </w:tr>
    </w:tbl>
    <w:p>
      <w:pPr>
        <w:pStyle w:val="Normal"/>
        <w:spacing w:lineRule="auto" w:line="360"/>
        <w:ind w:firstLine="709"/>
        <w:jc w:val="center"/>
        <w:rPr>
          <w:u w:val="none"/>
        </w:rPr>
      </w:pPr>
      <w:r>
        <w:rPr>
          <w:b/>
          <w:color w:val="FF0000"/>
          <w:sz w:val="28"/>
          <w:szCs w:val="24"/>
          <w:u w:val="none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eastAsia="Calibri"/>
                <w:kern w:val="0"/>
                <w:u w:val="none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ОЛ (Основная литература. См. в папке литература) -1; ОЛ – 2;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eastAsia="Calibri"/>
                <w:kern w:val="0"/>
                <w:u w:val="none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ДЛ (Дополнительная литература. См. в папке литература) -1; ДЛ – 4; ДЛ – 5; ДЛ-6; ДЛ-13.</w:t>
            </w:r>
          </w:p>
        </w:tc>
      </w:tr>
    </w:tbl>
    <w:p>
      <w:pPr>
        <w:pStyle w:val="Normal"/>
        <w:jc w:val="center"/>
        <w:rPr>
          <w:u w:val="none"/>
        </w:rPr>
      </w:pPr>
      <w:r>
        <w:rPr>
          <w:b/>
          <w:bCs/>
          <w:sz w:val="36"/>
          <w:szCs w:val="24"/>
          <w:u w:val="none"/>
        </w:rPr>
        <w:t>Получение знания о мире и формирование представлений.</w:t>
      </w:r>
    </w:p>
    <w:p>
      <w:pPr>
        <w:pStyle w:val="Normal"/>
        <w:ind w:firstLine="709"/>
        <w:jc w:val="both"/>
        <w:rPr>
          <w:u w:val="none"/>
        </w:rPr>
      </w:pPr>
      <w:r>
        <w:rPr>
          <w:bCs/>
          <w:sz w:val="28"/>
          <w:szCs w:val="24"/>
          <w:u w:val="none"/>
        </w:rPr>
        <w:t>ЗАДАНИЕ</w:t>
      </w:r>
      <w:bookmarkStart w:id="0" w:name="_GoBack"/>
      <w:bookmarkEnd w:id="0"/>
    </w:p>
    <w:p>
      <w:pPr>
        <w:pStyle w:val="Normal"/>
        <w:ind w:firstLine="709"/>
        <w:jc w:val="both"/>
        <w:rPr>
          <w:u w:val="none"/>
        </w:rPr>
      </w:pPr>
      <w:r>
        <w:rPr>
          <w:iCs/>
          <w:sz w:val="28"/>
          <w:szCs w:val="24"/>
          <w:u w:val="none"/>
        </w:rPr>
        <w:t>Работа с терминами в Интернете в группах</w:t>
      </w:r>
      <w:r>
        <w:rPr>
          <w:sz w:val="28"/>
          <w:szCs w:val="24"/>
          <w:u w:val="none"/>
        </w:rPr>
        <w:t>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1. Что такое эпистемология? Дать определение и объяснить суть восприятия мира в этой парадигме.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2. Что такое классическая наука и позитивизм? Дать определение и объяснить суть восприятия мира в этой парадигме.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3. Что такое неклассическая наука? Дать определение и объяснить суть восприятия мира в этой парадигме.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4. Что такое постнеклассическая наука? Дать определение и объяснить суть восприятия мира в этой парадигме.</w:t>
      </w:r>
    </w:p>
    <w:p>
      <w:pPr>
        <w:pStyle w:val="Normal"/>
        <w:ind w:firstLine="709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ind w:firstLine="709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1. Андреев И. М. Православная апологетика: к изучению дисциплины / И. М. Андреев. – Москва: Изд-во Сретенского монастыря, 2006. – 192 с. – (Сер: Духовное наследие русского зарубежья). – Текст: непосредственный.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2. Мумриков Олег, иерей. Концепции современного естествознания: ххристианско-апологетический аспект. Учебное пособие для духовных учебных заведений. – 2-е изд. – Сергиев посад; М.: Паломник, 2014. – 704 с.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1. Альбов М. П. Очерк христианской апологетики (основного богословия) / М. П. Альбов. – 2-е изд. – Санкт-Петербург: Типолитография М. П. Фроловой, 1908. – 173 с. – URL: http://biblioclub.ru/index.php?page=book_view_red&amp;book_id=140636 (дата обращения: 14.01.2021). – Текст: электронный.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4. Зеньковский В. В., протоиерей. Апологетика: научное издание / протоиерей В. В. Зеньковский. – Москва; Берлин: Директ-Медиа, 2017. – 246 с. – Библиогр. В конце глав.–URL: https://biblioclub.ru/index.php?page=book_view_red&amp;book_id=463957 (датаобращения: 14.01.2021). – Текст: электронный.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5. Зеньковский Василий, протоиерей. Апологетика: научное издание / протоиерей Василий Зеньковский. – Минск: Белорусская Православная Церковь, 2010. – 528 с. – Библиогр. в конце глав. – Текст: непосредственный.</w:t>
      </w:r>
    </w:p>
    <w:p>
      <w:pPr>
        <w:pStyle w:val="Normal"/>
        <w:ind w:firstLine="709"/>
        <w:jc w:val="both"/>
        <w:rPr>
          <w:u w:val="none"/>
        </w:rPr>
      </w:pPr>
      <w:r>
        <w:rPr>
          <w:sz w:val="28"/>
          <w:szCs w:val="24"/>
          <w:u w:val="none"/>
        </w:rPr>
        <w:t>6. Катасонов В. Н. Христианство. Культура. Наука: научное издание / В. Н. Катасонов. – Москва: ПСТГУ, 2011. – 480 с. – Текст: непосредственный.</w:t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5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LibreOffice/7.5.2.2$Linux_X86_64 LibreOffice_project/50$Build-2</Application>
  <AppVersion>15.0000</AppVersion>
  <Pages>2</Pages>
  <Words>289</Words>
  <Characters>1970</Characters>
  <CharactersWithSpaces>2262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2021-08-26T10:20:00Z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2023-05-12T14:03:10Z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