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Times New Roman"/>
          <w:color w:val="FF0000"/>
          <w:sz w:val="32"/>
          <w:szCs w:val="24"/>
        </w:rPr>
      </w:pPr>
      <w:r>
        <w:rPr/>
        <w:drawing>
          <wp:inline distT="0" distB="0" distL="0" distR="0">
            <wp:extent cx="685800" cy="701675"/>
            <wp:effectExtent l="0" t="0" r="0" b="0"/>
            <wp:docPr id="1" name="Рисунок 1" descr="C:\Users\Anna\YandexDisk\Анна\Миссионерский институт\Благодарственное письмо МИ\логотип 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Anna\YandexDisk\Анна\Миссионерский институт\Благодарственное письмо МИ\логотип МИ.png"/>
                    <pic:cNvPicPr>
                      <a:picLocks noChangeAspect="1" noChangeArrowheads="1"/>
                    </pic:cNvPicPr>
                  </pic:nvPicPr>
                  <pic:blipFill>
                    <a:blip r:embed="rId2"/>
                    <a:srcRect l="0" t="0" r="69737" b="0"/>
                    <a:stretch>
                      <a:fillRect/>
                    </a:stretch>
                  </pic:blipFill>
                  <pic:spPr bwMode="auto">
                    <a:xfrm>
                      <a:off x="0" y="0"/>
                      <a:ext cx="685800" cy="701675"/>
                    </a:xfrm>
                    <a:prstGeom prst="rect">
                      <a:avLst/>
                    </a:prstGeom>
                  </pic:spPr>
                </pic:pic>
              </a:graphicData>
            </a:graphic>
          </wp:inline>
        </w:drawing>
      </w:r>
    </w:p>
    <w:p>
      <w:pPr>
        <w:pStyle w:val="Normal"/>
        <w:spacing w:lineRule="auto" w:line="360"/>
        <w:jc w:val="center"/>
        <w:rPr>
          <w:rFonts w:eastAsia="Times New Roman"/>
          <w:color w:val="FF0000"/>
          <w:sz w:val="28"/>
          <w:szCs w:val="28"/>
        </w:rPr>
      </w:pPr>
      <w:r>
        <w:rPr>
          <w:rFonts w:eastAsia="Times New Roman"/>
          <w:color w:val="FF0000"/>
          <w:sz w:val="28"/>
          <w:szCs w:val="28"/>
        </w:rPr>
        <w:t>Этноконфессиональные особенности русской словесности</w:t>
      </w:r>
    </w:p>
    <w:p>
      <w:pPr>
        <w:pStyle w:val="Normal"/>
        <w:spacing w:lineRule="auto" w:line="360"/>
        <w:jc w:val="center"/>
        <w:rPr>
          <w:sz w:val="28"/>
          <w:szCs w:val="28"/>
        </w:rPr>
      </w:pPr>
      <w:r>
        <w:rPr>
          <w:rFonts w:eastAsia="Times New Roman"/>
          <w:sz w:val="28"/>
          <w:szCs w:val="28"/>
        </w:rPr>
        <w:t>(Курс 4, семестр 8)</w:t>
      </w:r>
    </w:p>
    <w:p>
      <w:pPr>
        <w:pStyle w:val="Normal"/>
        <w:spacing w:lineRule="auto" w:line="360"/>
        <w:jc w:val="center"/>
        <w:rPr>
          <w:b/>
          <w:sz w:val="28"/>
          <w:szCs w:val="28"/>
        </w:rPr>
      </w:pPr>
      <w:r>
        <w:rPr>
          <w:b/>
          <w:sz w:val="28"/>
          <w:szCs w:val="28"/>
        </w:rPr>
        <w:t>(заочной формы обучения)</w:t>
      </w:r>
    </w:p>
    <w:p>
      <w:pPr>
        <w:pStyle w:val="Normal"/>
        <w:spacing w:lineRule="auto" w:line="360"/>
        <w:jc w:val="center"/>
        <w:rPr>
          <w:rFonts w:eastAsia="Times New Roman"/>
          <w:b/>
          <w:sz w:val="28"/>
          <w:szCs w:val="28"/>
        </w:rPr>
      </w:pPr>
      <w:r>
        <w:rPr>
          <w:rFonts w:eastAsia="Times New Roman"/>
          <w:b/>
          <w:sz w:val="28"/>
          <w:szCs w:val="28"/>
        </w:rPr>
        <w:t>Лабораторная работа</w:t>
      </w:r>
    </w:p>
    <w:p>
      <w:pPr>
        <w:pStyle w:val="Normal"/>
        <w:spacing w:lineRule="auto" w:line="360"/>
        <w:jc w:val="center"/>
        <w:rPr>
          <w:rFonts w:eastAsia="Times New Roman"/>
          <w:color w:val="000000"/>
          <w:sz w:val="24"/>
          <w:szCs w:val="20"/>
        </w:rPr>
      </w:pPr>
      <w:r>
        <w:rPr>
          <w:color w:val="FF0000"/>
          <w:sz w:val="28"/>
          <w:szCs w:val="24"/>
        </w:rPr>
        <w:t>Оценочные средства</w:t>
      </w:r>
      <w:r>
        <w:rPr>
          <w:sz w:val="28"/>
          <w:szCs w:val="24"/>
        </w:rPr>
        <w:t xml:space="preserve">: </w:t>
      </w:r>
      <w:r>
        <w:rPr>
          <w:rFonts w:eastAsia="Times New Roman"/>
          <w:color w:val="000000"/>
          <w:sz w:val="24"/>
          <w:szCs w:val="20"/>
        </w:rPr>
        <w:t xml:space="preserve">Работа с первоисточниками, </w:t>
      </w:r>
    </w:p>
    <w:p>
      <w:pPr>
        <w:pStyle w:val="Normal"/>
        <w:spacing w:lineRule="auto" w:line="360"/>
        <w:jc w:val="center"/>
        <w:rPr>
          <w:color w:val="FF0000"/>
          <w:sz w:val="72"/>
          <w:szCs w:val="28"/>
        </w:rPr>
      </w:pPr>
      <w:r>
        <w:rPr>
          <w:rFonts w:eastAsia="Times New Roman"/>
          <w:color w:val="000000"/>
          <w:sz w:val="24"/>
          <w:szCs w:val="20"/>
        </w:rPr>
        <w:t>презентации, участие в дискуссии</w:t>
      </w:r>
    </w:p>
    <w:tbl>
      <w:tblPr>
        <w:tblStyle w:val="a9"/>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cPr>
          <w:p>
            <w:pPr>
              <w:pStyle w:val="ListParagraph"/>
              <w:widowControl w:val="false"/>
              <w:suppressAutoHyphens w:val="true"/>
              <w:spacing w:before="0" w:after="0"/>
              <w:ind w:left="0" w:hanging="0"/>
              <w:contextualSpacing w:val="false"/>
              <w:jc w:val="center"/>
              <w:rPr>
                <w:rFonts w:ascii="Times New Roman" w:hAnsi="Times New Roman" w:cs="Times New Roman"/>
                <w:b/>
                <w:color w:val="FF0000"/>
                <w:sz w:val="36"/>
                <w:szCs w:val="24"/>
              </w:rPr>
            </w:pPr>
            <w:r>
              <w:rPr>
                <w:rFonts w:eastAsia="Calibri" w:cs="" w:ascii="Calibri" w:hAnsi="Calibri"/>
                <w:color w:val="FF0000"/>
                <w:kern w:val="0"/>
                <w:sz w:val="32"/>
                <w:szCs w:val="22"/>
                <w:highlight w:val="yellow"/>
                <w:lang w:val="ru-RU" w:eastAsia="en-US" w:bidi="ar-SA"/>
              </w:rPr>
              <w:t xml:space="preserve">Тема 7. </w:t>
            </w:r>
            <w:r>
              <w:rPr>
                <w:rFonts w:eastAsia="Calibri" w:cs="" w:ascii="Calibri" w:hAnsi="Calibri"/>
                <w:color w:val="FF0000"/>
                <w:kern w:val="0"/>
                <w:sz w:val="32"/>
                <w:szCs w:val="24"/>
                <w:highlight w:val="yellow"/>
                <w:lang w:val="ru-RU" w:eastAsia="en-US" w:bidi="ar-SA"/>
              </w:rPr>
              <w:t>«Реализм в высшем смысле» Ф. М. Достоевского.</w:t>
            </w:r>
          </w:p>
        </w:tc>
      </w:tr>
    </w:tbl>
    <w:p>
      <w:pPr>
        <w:pStyle w:val="Normal"/>
        <w:spacing w:lineRule="auto" w:line="360"/>
        <w:jc w:val="center"/>
        <w:rPr>
          <w:b/>
          <w:color w:val="FF0000"/>
          <w:sz w:val="28"/>
          <w:szCs w:val="24"/>
        </w:rPr>
      </w:pPr>
      <w:r>
        <w:rPr>
          <w:b/>
          <w:color w:val="FF0000"/>
          <w:sz w:val="28"/>
          <w:szCs w:val="24"/>
        </w:rPr>
        <w:t>Литература: ДЛ -11.</w:t>
      </w:r>
    </w:p>
    <w:tbl>
      <w:tblPr>
        <w:tblStyle w:val="a9"/>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cPr>
          <w:p>
            <w:pPr>
              <w:pStyle w:val="ListParagraph"/>
              <w:widowControl w:val="false"/>
              <w:suppressAutoHyphens w:val="true"/>
              <w:spacing w:before="0" w:after="0"/>
              <w:ind w:left="0" w:hanging="0"/>
              <w:contextualSpacing w:val="false"/>
              <w:jc w:val="center"/>
              <w:rPr>
                <w:rFonts w:ascii="Times New Roman" w:hAnsi="Times New Roman" w:cs="Times New Roman"/>
                <w:sz w:val="24"/>
                <w:szCs w:val="24"/>
              </w:rPr>
            </w:pPr>
            <w:r>
              <w:rPr>
                <w:rFonts w:eastAsia="Calibri" w:cs="Times New Roman"/>
                <w:kern w:val="0"/>
                <w:sz w:val="28"/>
                <w:szCs w:val="24"/>
                <w:lang w:val="ru-RU" w:eastAsia="en-US" w:bidi="ar-SA"/>
              </w:rPr>
              <w:t>.</w:t>
            </w:r>
          </w:p>
        </w:tc>
      </w:tr>
      <w:tr>
        <w:trPr/>
        <w:tc>
          <w:tcPr>
            <w:tcW w:w="9026" w:type="dxa"/>
            <w:tcBorders/>
          </w:tcPr>
          <w:p>
            <w:pPr>
              <w:pStyle w:val="Normal"/>
              <w:widowControl w:val="false"/>
              <w:suppressAutoHyphens w:val="true"/>
              <w:spacing w:before="0" w:after="0"/>
              <w:jc w:val="center"/>
              <w:rPr>
                <w:rFonts w:ascii="Times New Roman" w:hAnsi="Times New Roman" w:cs="Times New Roman"/>
                <w:color w:val="FF0000"/>
                <w:sz w:val="32"/>
                <w:szCs w:val="24"/>
              </w:rPr>
            </w:pPr>
            <w:r>
              <w:rPr>
                <w:rFonts w:eastAsia="Calibri" w:cs="Times New Roman"/>
                <w:color w:val="FF0000"/>
                <w:kern w:val="0"/>
                <w:sz w:val="32"/>
                <w:szCs w:val="24"/>
                <w:lang w:val="ru-RU" w:eastAsia="en-US" w:bidi="ar-SA"/>
              </w:rPr>
              <w:t xml:space="preserve">Фантастический рассказ «Сон смешного человека»: </w:t>
            </w:r>
          </w:p>
          <w:p>
            <w:pPr>
              <w:pStyle w:val="Normal"/>
              <w:widowControl w:val="false"/>
              <w:suppressAutoHyphens w:val="true"/>
              <w:spacing w:before="0" w:after="0"/>
              <w:jc w:val="center"/>
              <w:rPr>
                <w:rFonts w:ascii="Times New Roman" w:hAnsi="Times New Roman" w:cs="Times New Roman"/>
                <w:color w:val="FF0000"/>
                <w:sz w:val="32"/>
                <w:szCs w:val="24"/>
              </w:rPr>
            </w:pPr>
            <w:bookmarkStart w:id="0" w:name="_GoBack"/>
            <w:bookmarkEnd w:id="0"/>
            <w:r>
              <w:rPr>
                <w:rFonts w:eastAsia="Calibri" w:cs="Times New Roman"/>
                <w:color w:val="FF0000"/>
                <w:kern w:val="0"/>
                <w:sz w:val="32"/>
                <w:szCs w:val="24"/>
                <w:lang w:val="ru-RU" w:eastAsia="en-US" w:bidi="ar-SA"/>
              </w:rPr>
              <w:t>опыт герменевтического анализа.</w:t>
            </w:r>
          </w:p>
          <w:p>
            <w:pPr>
              <w:pStyle w:val="Normal"/>
              <w:widowControl w:val="false"/>
              <w:suppressAutoHyphens w:val="true"/>
              <w:spacing w:before="0" w:after="0"/>
              <w:jc w:val="both"/>
              <w:rPr>
                <w:rFonts w:ascii="Times New Roman" w:hAnsi="Times New Roman" w:cs="Times New Roman"/>
                <w:b/>
                <w:color w:val="FF0000"/>
                <w:sz w:val="32"/>
                <w:szCs w:val="24"/>
                <w:u w:val="single"/>
              </w:rPr>
            </w:pPr>
            <w:r>
              <w:rPr>
                <w:rFonts w:eastAsia="Calibri" w:cs="Times New Roman"/>
                <w:b/>
                <w:color w:val="FF0000"/>
                <w:kern w:val="0"/>
                <w:sz w:val="32"/>
                <w:szCs w:val="24"/>
                <w:u w:val="single"/>
                <w:lang w:val="ru-RU" w:eastAsia="en-US" w:bidi="ar-SA"/>
              </w:rPr>
              <w:t>ЗАДАНИЕ:</w:t>
            </w:r>
          </w:p>
          <w:p>
            <w:pPr>
              <w:pStyle w:val="Normal"/>
              <w:widowControl w:val="false"/>
              <w:suppressAutoHyphens w:val="true"/>
              <w:spacing w:lineRule="auto" w:line="360" w:before="0" w:after="0"/>
              <w:ind w:firstLine="709"/>
              <w:jc w:val="both"/>
              <w:rPr>
                <w:rFonts w:ascii="Times New Roman" w:hAnsi="Times New Roman" w:cs="Times New Roman"/>
                <w:sz w:val="28"/>
                <w:szCs w:val="24"/>
              </w:rPr>
            </w:pPr>
            <w:r>
              <w:rPr>
                <w:rFonts w:eastAsia="Calibri" w:cs="Times New Roman"/>
                <w:kern w:val="0"/>
                <w:sz w:val="28"/>
                <w:szCs w:val="24"/>
                <w:lang w:val="ru-RU" w:eastAsia="en-US" w:bidi="ar-SA"/>
              </w:rPr>
              <w:t>Ознакомьтесь с конкретным разделом учебного пособия (с. 172–186) и подготовьте отчет, в котором раскрываются:</w:t>
            </w:r>
          </w:p>
          <w:p>
            <w:pPr>
              <w:pStyle w:val="Normal"/>
              <w:widowControl w:val="false"/>
              <w:suppressAutoHyphens w:val="true"/>
              <w:spacing w:lineRule="auto" w:line="360" w:before="0" w:after="0"/>
              <w:ind w:firstLine="709"/>
              <w:jc w:val="both"/>
              <w:rPr>
                <w:rFonts w:ascii="Times New Roman" w:hAnsi="Times New Roman" w:cs="Times New Roman"/>
                <w:sz w:val="28"/>
                <w:szCs w:val="24"/>
              </w:rPr>
            </w:pPr>
            <w:r>
              <w:rPr>
                <w:rFonts w:eastAsia="Calibri" w:cs="Times New Roman"/>
                <w:kern w:val="0"/>
                <w:sz w:val="28"/>
                <w:szCs w:val="24"/>
                <w:lang w:val="ru-RU" w:eastAsia="en-US" w:bidi="ar-SA"/>
              </w:rPr>
              <w:t>1. Специфика «фантастического реализма» писателя.</w:t>
            </w:r>
          </w:p>
          <w:p>
            <w:pPr>
              <w:pStyle w:val="Normal"/>
              <w:widowControl w:val="false"/>
              <w:suppressAutoHyphens w:val="true"/>
              <w:spacing w:lineRule="auto" w:line="360" w:before="0" w:after="0"/>
              <w:ind w:firstLine="709"/>
              <w:jc w:val="both"/>
              <w:rPr>
                <w:rFonts w:ascii="Times New Roman" w:hAnsi="Times New Roman" w:cs="Times New Roman"/>
                <w:sz w:val="28"/>
                <w:szCs w:val="24"/>
              </w:rPr>
            </w:pPr>
            <w:r>
              <w:rPr>
                <w:rFonts w:eastAsia="Calibri" w:cs="Times New Roman"/>
                <w:kern w:val="0"/>
                <w:sz w:val="28"/>
                <w:szCs w:val="24"/>
                <w:lang w:val="ru-RU" w:eastAsia="en-US" w:bidi="ar-SA"/>
              </w:rPr>
              <w:t>2. Провиденциально-символический принцип композиционно-архитектонического построения рассказа.</w:t>
            </w:r>
          </w:p>
          <w:p>
            <w:pPr>
              <w:pStyle w:val="Normal"/>
              <w:widowControl w:val="false"/>
              <w:suppressAutoHyphens w:val="true"/>
              <w:spacing w:lineRule="auto" w:line="360" w:before="0" w:after="0"/>
              <w:ind w:firstLine="709"/>
              <w:jc w:val="both"/>
              <w:rPr>
                <w:rFonts w:ascii="Times New Roman" w:hAnsi="Times New Roman" w:cs="Times New Roman"/>
                <w:sz w:val="24"/>
                <w:szCs w:val="24"/>
              </w:rPr>
            </w:pPr>
            <w:r>
              <w:rPr>
                <w:rFonts w:eastAsia="Calibri" w:cs="Times New Roman"/>
                <w:kern w:val="0"/>
                <w:sz w:val="28"/>
                <w:szCs w:val="24"/>
                <w:lang w:val="ru-RU" w:eastAsia="en-US" w:bidi="ar-SA"/>
              </w:rPr>
              <w:t>3. Роль ценностной оппозиции ум – сердце (на конкретных примерах).</w:t>
            </w:r>
          </w:p>
        </w:tc>
      </w:tr>
    </w:tbl>
    <w:p>
      <w:pPr>
        <w:pStyle w:val="Normal"/>
        <w:jc w:val="both"/>
        <w:rPr>
          <w:sz w:val="28"/>
          <w:szCs w:val="24"/>
        </w:rPr>
      </w:pPr>
      <w:r>
        <w:rPr>
          <w:sz w:val="28"/>
          <w:szCs w:val="24"/>
        </w:rPr>
      </w:r>
    </w:p>
    <w:p>
      <w:pPr>
        <w:pStyle w:val="Normal"/>
        <w:jc w:val="both"/>
        <w:rPr>
          <w:sz w:val="28"/>
          <w:szCs w:val="24"/>
        </w:rPr>
      </w:pPr>
      <w:r>
        <w:rPr>
          <w:sz w:val="28"/>
          <w:szCs w:val="24"/>
        </w:rPr>
      </w:r>
    </w:p>
    <w:p>
      <w:pPr>
        <w:pStyle w:val="4"/>
        <w:numPr>
          <w:ilvl w:val="3"/>
          <w:numId w:val="1"/>
        </w:numPr>
        <w:rPr>
          <w:rFonts w:ascii="Times New Roman" w:hAnsi="Times New Roman" w:cs="Times New Roman"/>
          <w:sz w:val="28"/>
          <w:szCs w:val="24"/>
        </w:rPr>
      </w:pPr>
      <w:r>
        <w:rPr/>
        <w:t>1. Специфика «фантастического реализма» писателя.</w:t>
      </w:r>
    </w:p>
    <w:p>
      <w:pPr>
        <w:pStyle w:val="Normal"/>
        <w:spacing w:lineRule="auto" w:line="360"/>
        <w:jc w:val="both"/>
        <w:rPr>
          <w:sz w:val="28"/>
          <w:szCs w:val="28"/>
        </w:rPr>
      </w:pPr>
      <w:r>
        <w:rPr>
          <w:sz w:val="28"/>
          <w:szCs w:val="28"/>
        </w:rPr>
        <w:t>По утверждению Бердяева «Достоевский прежде всего великий антрополог, исследователь человеческой природы, ее глубин и ее тайн. Все его творчество — антропологические опыты и эксперименты. Достоевский — не художник-реалист, а экспериментатор, создатель опытной метафизики человеческой природы»</w:t>
      </w:r>
      <w:r>
        <w:rPr>
          <w:rStyle w:val="Style12"/>
          <w:sz w:val="28"/>
          <w:szCs w:val="28"/>
        </w:rPr>
        <w:footnoteReference w:id="2"/>
      </w:r>
      <w:r>
        <w:rPr>
          <w:sz w:val="28"/>
          <w:szCs w:val="28"/>
        </w:rPr>
        <w:t>. «Сон смешного человека» задает антропологическую модель художника, выражает его «откровение о человеке». По М. М. Бахтину, «поражает предельным универсализмом» и «изумительным художественно-философским лаконизмом», этот рассказ «почти полная энциклопедия ведущих тем Достоевского»</w:t>
      </w:r>
      <w:r>
        <w:rPr>
          <w:rStyle w:val="Style12"/>
          <w:sz w:val="28"/>
          <w:szCs w:val="28"/>
        </w:rPr>
        <w:footnoteReference w:id="3"/>
      </w:r>
      <w:r>
        <w:rPr>
          <w:sz w:val="28"/>
          <w:szCs w:val="28"/>
        </w:rPr>
        <w:t>.</w:t>
      </w:r>
    </w:p>
    <w:p>
      <w:pPr>
        <w:pStyle w:val="Normal"/>
        <w:spacing w:lineRule="auto" w:line="360"/>
        <w:jc w:val="both"/>
        <w:rPr>
          <w:sz w:val="28"/>
          <w:szCs w:val="28"/>
        </w:rPr>
      </w:pPr>
      <w:r>
        <w:rPr>
          <w:sz w:val="28"/>
          <w:szCs w:val="28"/>
        </w:rPr>
        <w:t xml:space="preserve">Подзаголовок произведения — «фантастический рассказ». Какова же специфика «фантастического реализма» писателя? </w:t>
      </w:r>
    </w:p>
    <w:p>
      <w:pPr>
        <w:pStyle w:val="Normal"/>
        <w:spacing w:lineRule="auto" w:line="360"/>
        <w:jc w:val="both"/>
        <w:rPr>
          <w:sz w:val="28"/>
          <w:szCs w:val="28"/>
        </w:rPr>
      </w:pPr>
      <w:r>
        <w:rPr>
          <w:sz w:val="28"/>
          <w:szCs w:val="28"/>
        </w:rPr>
        <w:t xml:space="preserve">1. Реализм Достоевского не ограничивается только верностью фактам, эмпирическим содержанием, но предполагает систему ценностей самого художника.                                                                                 </w:t>
      </w:r>
    </w:p>
    <w:p>
      <w:pPr>
        <w:pStyle w:val="Normal"/>
        <w:spacing w:lineRule="auto" w:line="360"/>
        <w:jc w:val="both"/>
        <w:rPr>
          <w:sz w:val="28"/>
          <w:szCs w:val="28"/>
        </w:rPr>
      </w:pPr>
      <w:r>
        <w:rPr>
          <w:sz w:val="28"/>
          <w:szCs w:val="28"/>
        </w:rPr>
        <w:t xml:space="preserve">2. Слова “фантазия”, “фантастический” употребляются Достоевским для обозначения духовных реалий, закрытых для понимания сознанием атеистическим, греховным или замутнённым мистическими измышлениями. </w:t>
      </w:r>
    </w:p>
    <w:p>
      <w:pPr>
        <w:pStyle w:val="Normal"/>
        <w:spacing w:lineRule="auto" w:line="360"/>
        <w:jc w:val="both"/>
        <w:rPr>
          <w:sz w:val="28"/>
          <w:szCs w:val="28"/>
        </w:rPr>
      </w:pPr>
      <w:r>
        <w:rPr>
          <w:sz w:val="28"/>
          <w:szCs w:val="28"/>
        </w:rPr>
        <w:t>3. По Достоевскому реализм слеп, потому, что «...рассматривает только одно лишь насущное, видимо-текущее, да и то понаглядке, а концы и начала — это все еще пока для человека фантастическое». («Реализм, ограничивающийся кончиком своего носа, опаснее самой безумной фантастичности, потому что слеп»</w:t>
      </w:r>
      <w:r>
        <w:rPr>
          <w:rStyle w:val="Style12"/>
          <w:sz w:val="28"/>
          <w:szCs w:val="28"/>
        </w:rPr>
        <w:footnoteReference w:id="4"/>
      </w:r>
      <w:r>
        <w:rPr>
          <w:sz w:val="28"/>
          <w:szCs w:val="28"/>
        </w:rPr>
        <w:t xml:space="preserve">.) Таким образом Фантазия у Достоевского — это не мечта, а </w:t>
      </w:r>
      <w:r>
        <w:rPr>
          <w:b/>
          <w:bCs/>
          <w:sz w:val="28"/>
          <w:szCs w:val="28"/>
        </w:rPr>
        <w:t>сверхреальное или символическое пророчество</w:t>
      </w:r>
      <w:r>
        <w:rPr>
          <w:sz w:val="28"/>
          <w:szCs w:val="28"/>
        </w:rPr>
        <w:t>.</w:t>
      </w:r>
    </w:p>
    <w:p>
      <w:pPr>
        <w:pStyle w:val="Normal"/>
        <w:spacing w:lineRule="auto" w:line="360"/>
        <w:jc w:val="both"/>
        <w:rPr>
          <w:sz w:val="28"/>
          <w:szCs w:val="28"/>
        </w:rPr>
      </w:pPr>
      <w:r>
        <w:rPr>
          <w:sz w:val="28"/>
          <w:szCs w:val="28"/>
        </w:rPr>
        <w:t xml:space="preserve">4. Фантастический реализм Достоевского смыкается с категорией «чудесного», в ее канонической православно-религиозной трактовке (что особенно важно -- «не вмещал онтологического бытия сатаны»). У Достоевского, в отличие от Гоголя, «фантастическое» освобождается от мистического ужаса манихейской картины мира (или уравнивания, фаталистического противоборства Божественных и демонических сил). </w:t>
      </w:r>
    </w:p>
    <w:p>
      <w:pPr>
        <w:pStyle w:val="Normal"/>
        <w:spacing w:lineRule="auto" w:line="360"/>
        <w:jc w:val="both"/>
        <w:rPr>
          <w:sz w:val="28"/>
          <w:szCs w:val="28"/>
        </w:rPr>
      </w:pPr>
      <w:r>
        <w:rPr>
          <w:sz w:val="28"/>
          <w:szCs w:val="28"/>
        </w:rPr>
      </w:r>
    </w:p>
    <w:p>
      <w:pPr>
        <w:pStyle w:val="4"/>
        <w:numPr>
          <w:ilvl w:val="3"/>
          <w:numId w:val="1"/>
        </w:numPr>
        <w:rPr>
          <w:sz w:val="28"/>
          <w:szCs w:val="28"/>
        </w:rPr>
      </w:pPr>
      <w:r>
        <w:rPr/>
        <w:t>2. Провиденциально-символический принцип композиционно-архитектонического построения рассказа.</w:t>
      </w:r>
    </w:p>
    <w:p>
      <w:pPr>
        <w:pStyle w:val="Normal"/>
        <w:rPr>
          <w:sz w:val="28"/>
          <w:szCs w:val="28"/>
        </w:rPr>
      </w:pPr>
      <w:r>
        <w:rPr>
          <w:sz w:val="28"/>
          <w:szCs w:val="28"/>
        </w:rPr>
        <w:t>Пять небольших глав рассказа с крохотным эпилогом запечатлевают кризис нигилистического типа сознания и путь человеческой души к спасению. Сотериологическая тема, выводит писателя к основам христианской антропологии (не очевидно), но всё же художественная логика Достоевского в «Сне смешного человека» подчиняется сотериологической задаче. Провиденциально-символический принцип структурирования предполагает четыре важнейших фазиса, или эона, ведущих человека к спасению: 1. человек в его первозданном, «райском» состоянии, т. е. до грехопадения. 2. грехопадение человека и его последствиях, учение о личном и первородном грехе. 3. Церковь, таинства и благодать как средства преодоления падшей природы человека. 4. Эсхатология, последние времена, конец мира, страшный суд, приход Антихриста, преображение земли, воскресение мёртвых, и жизнь будущего века. Все четыре пункта христианской антропологии представлены в произведении Достоевского и задают архитектоническую целостность «фантастического рассказа»: 1. на первом этапе Достоевский разворачивает картину райского состояния первобытных людей, подчеркивая верность этих безгрешных детей природе: то были «дети солнца, дети своего солнца», которые испытывали «беспрерывное еди-</w:t>
      </w:r>
    </w:p>
    <w:p>
      <w:pPr>
        <w:pStyle w:val="Normal"/>
        <w:rPr>
          <w:sz w:val="28"/>
          <w:szCs w:val="28"/>
        </w:rPr>
      </w:pPr>
      <w:r>
        <w:rPr>
          <w:sz w:val="28"/>
          <w:szCs w:val="28"/>
        </w:rPr>
        <w:t xml:space="preserve">нение с Целым вселенной» (с. 112, 114). </w:t>
      </w:r>
    </w:p>
    <w:p>
      <w:pPr>
        <w:pStyle w:val="Normal"/>
        <w:rPr>
          <w:sz w:val="28"/>
          <w:szCs w:val="28"/>
        </w:rPr>
      </w:pPr>
      <w:r>
        <w:rPr>
          <w:sz w:val="28"/>
          <w:szCs w:val="28"/>
        </w:rPr>
        <w:t>2 и 3. Изображенная писателем достаточно подробно стадия грехопадения человечества удивительным образом совмещается с сюжетом эсхатологического плана, т. е. с последней и заключи тельной стадией духовно-исторического процесса. Значение картины конца времен, выписанной достаточно эффектно, с поистине трагической силой, заключается в том, что она призвана подчеркнуть идею поиска веры, необходимость религиозных ориентиров для заблудшего человечества.</w:t>
      </w:r>
    </w:p>
    <w:p>
      <w:pPr>
        <w:pStyle w:val="Normal"/>
        <w:rPr>
          <w:sz w:val="28"/>
          <w:szCs w:val="28"/>
        </w:rPr>
      </w:pPr>
      <w:r>
        <w:rPr>
          <w:sz w:val="28"/>
          <w:szCs w:val="28"/>
        </w:rPr>
        <w:t>4. Последняя стадия антропологического эксперимента Достоевского — и в этом, как нам видится, состоит величайший смысл пророчества его «смешного человека» — восстановление нарушенной связи с Богом посредством сораспятия с Христом. Идея христоцентризма и искупления грехов человечества с навязчивой силой вторгается в сознание «смешного человека», полностью завладевая его духовным существом: «Я умолял их, чтоб они распяли меня на кресте, я учил их, как сделать крест» (с. 117).</w:t>
      </w:r>
    </w:p>
    <w:p>
      <w:pPr>
        <w:pStyle w:val="4"/>
        <w:numPr>
          <w:ilvl w:val="3"/>
          <w:numId w:val="1"/>
        </w:numPr>
        <w:rPr/>
      </w:pPr>
      <w:r>
        <w:rPr/>
        <w:t>3. Роль ценностной оппозиции ум – сердце (на конкретных примерах).</w:t>
      </w:r>
    </w:p>
    <w:p>
      <w:pPr>
        <w:pStyle w:val="Style16"/>
        <w:spacing w:lineRule="auto" w:line="360"/>
        <w:jc w:val="both"/>
        <w:rPr>
          <w:sz w:val="28"/>
          <w:szCs w:val="28"/>
        </w:rPr>
      </w:pPr>
      <w:r>
        <w:rPr>
          <w:sz w:val="28"/>
          <w:szCs w:val="28"/>
        </w:rPr>
        <w:t>Существенное место в «фантастическом рассказе» достоевского занимает ценностная оппозиция ум – сердце. В своём внимании к этой оппозиции Достоевский проявляется как «антрополог, исследователь человеческой природы, её глубин и её тайн»</w:t>
      </w:r>
      <w:r>
        <w:rPr>
          <w:rStyle w:val="Style12"/>
          <w:sz w:val="28"/>
          <w:szCs w:val="28"/>
        </w:rPr>
        <w:footnoteReference w:id="5"/>
      </w:r>
      <w:r>
        <w:rPr>
          <w:sz w:val="28"/>
          <w:szCs w:val="28"/>
        </w:rPr>
        <w:t xml:space="preserve">. Следует помнить, что это рассказ с «теофанией» -- обретением истины, и не случайно, истина обретается героем во сне, в этом характерная черта мировоззрения Достоевского -- антипросветительский и антипозитивистский характер, признание мистической природы человека, корни которой, залегают «не здесь, а в мирах иных» (т. 14, с. 290). Об этом он с удивлением говорит, это подчёркивается эмоциональным восклицаним «Да, мне приснился тогда этот сон, мой сон третьего ноября! Они дразнят меня теперь тем, что ведь это был только сон. Но неужели не всё равно, сон или нет, если сон этот возвестил мне Истину?» На фоне </w:t>
      </w:r>
      <w:r>
        <w:rPr>
          <w:sz w:val="28"/>
          <w:szCs w:val="28"/>
          <w:u w:val="none"/>
        </w:rPr>
        <w:t>ценностной оппозиции ум — сердце и происходит это обретение: ср. «</w:t>
      </w:r>
      <w:r>
        <w:rPr>
          <w:i/>
          <w:iCs/>
          <w:sz w:val="28"/>
          <w:szCs w:val="28"/>
          <w:u w:val="none"/>
        </w:rPr>
        <w:t>Неужели же мелкое сердце мое и капризный, ничтожный ум мой могли возвыситься до такого откровения правды!</w:t>
      </w:r>
      <w:r>
        <w:rPr>
          <w:sz w:val="28"/>
          <w:szCs w:val="28"/>
          <w:u w:val="none"/>
        </w:rPr>
        <w:t xml:space="preserve">» Очевидно, что для откровения нужен кто-то внешний по отношению к человеку, кто-то, кто не поддаётся исследованию научными позитивистскими методами. Этому откровению предшествуют конкретные примеры, которые выражают размышления автора об этой ценностной оппозиции: </w:t>
      </w:r>
    </w:p>
    <w:p>
      <w:pPr>
        <w:pStyle w:val="Style16"/>
        <w:spacing w:lineRule="auto" w:line="360"/>
        <w:jc w:val="both"/>
        <w:rPr>
          <w:sz w:val="22"/>
          <w:szCs w:val="22"/>
        </w:rPr>
      </w:pPr>
      <w:r>
        <w:rPr>
          <w:sz w:val="22"/>
          <w:szCs w:val="22"/>
          <w:u w:val="none"/>
        </w:rPr>
        <w:t>С разумом опосредованно связано убеждение главного героя, что -- «на свете везде всё равно»: «Я в этот день  почти не обедал и с раннего вечера просидел у одного инженера». Другой герой Достоевского -- Кириллов (Бесы), тоже инженер по профессии и имеет такое же убеждение, постигшее нашего героя, что на свете везде всё равно, и что самоубийство — высшее выражение своеволия. (кстати будущий капитан Лебядкин тоже встречается в этом рассказе).</w:t>
      </w:r>
    </w:p>
    <w:p>
      <w:pPr>
        <w:pStyle w:val="Style16"/>
        <w:spacing w:lineRule="auto" w:line="360"/>
        <w:jc w:val="both"/>
        <w:rPr>
          <w:sz w:val="22"/>
          <w:szCs w:val="22"/>
        </w:rPr>
      </w:pPr>
      <w:r>
        <w:rPr>
          <w:sz w:val="22"/>
          <w:szCs w:val="22"/>
          <w:u w:val="none"/>
        </w:rPr>
        <w:t>«В двух первых главках рассказа герой-повествователь постоянно пытается разрешить для себя мысль о самоубийстве, апеллируя при этом именно к разуму (даже застрелиться он планирует не иначе как в голову, конкретно — в правый висок), но почти ни разу не упоминая о сердце. На этом фоне тем более показательна следующая оговорка: «Мне вдруг представилось, что если б потух везде газ, то стало бы отраднее, а с газом грустнее сердцу, потому что он все это освещает»</w:t>
      </w:r>
      <w:r>
        <w:rPr>
          <w:rStyle w:val="Style12"/>
          <w:sz w:val="22"/>
          <w:szCs w:val="22"/>
          <w:u w:val="none"/>
        </w:rPr>
        <w:footnoteReference w:id="6"/>
      </w:r>
      <w:r>
        <w:rPr>
          <w:sz w:val="22"/>
          <w:szCs w:val="22"/>
          <w:u w:val="none"/>
        </w:rPr>
        <w:t xml:space="preserve">. </w:t>
      </w:r>
    </w:p>
    <w:p>
      <w:pPr>
        <w:pStyle w:val="Style16"/>
        <w:spacing w:lineRule="auto" w:line="360"/>
        <w:jc w:val="both"/>
        <w:rPr>
          <w:sz w:val="22"/>
          <w:szCs w:val="22"/>
        </w:rPr>
      </w:pPr>
      <w:r>
        <w:rPr>
          <w:sz w:val="22"/>
          <w:szCs w:val="22"/>
          <w:u w:val="none"/>
        </w:rPr>
        <w:t>«Второе упоминание о сердце приходится на обозначенный мотивом сновидения переломный момент сюжета: «Сны, кажется, стремит не рассудок, а желание, не голова, а сердце, а между тем какие хитрейшие вещи проделывал иногда мой рассудок во сне! Между тем с ним происходят во сне вещи совсем непостижимые» (с. 108). Противопоставление ума и сердца, столь важное для христианской антропологии, наконец-то прямо выговаривается в сюжетной структуре рассказа. И далее, начиная с 3-й главки, оно уже проходит красной нитью через весь рассказ»</w:t>
      </w:r>
      <w:r>
        <w:rPr>
          <w:rStyle w:val="Style12"/>
          <w:sz w:val="22"/>
          <w:szCs w:val="22"/>
          <w:u w:val="none"/>
        </w:rPr>
        <w:footnoteReference w:id="7"/>
      </w:r>
      <w:r>
        <w:rPr>
          <w:sz w:val="22"/>
          <w:szCs w:val="22"/>
          <w:u w:val="none"/>
        </w:rPr>
        <w:t>. Далее Олег Васильевич приводит с нашими небольшими комментариями самые важные контексты словоупотребления, отобранные в последовательном порядке из текста Достоевского и проясняющие смысл концепта «сердце»:</w:t>
      </w:r>
    </w:p>
    <w:tbl>
      <w:tblPr>
        <w:tblW w:w="8888" w:type="dxa"/>
        <w:jc w:val="left"/>
        <w:tblInd w:w="139" w:type="dxa"/>
        <w:tblLayout w:type="fixed"/>
        <w:tblCellMar>
          <w:top w:w="55" w:type="dxa"/>
          <w:left w:w="55" w:type="dxa"/>
          <w:bottom w:w="55" w:type="dxa"/>
          <w:right w:w="55" w:type="dxa"/>
        </w:tblCellMar>
      </w:tblPr>
      <w:tblGrid>
        <w:gridCol w:w="4369"/>
        <w:gridCol w:w="4518"/>
      </w:tblGrid>
      <w:tr>
        <w:trPr/>
        <w:tc>
          <w:tcPr>
            <w:tcW w:w="4369" w:type="dxa"/>
            <w:tcBorders>
              <w:top w:val="single" w:sz="4" w:space="0" w:color="000000"/>
              <w:left w:val="single" w:sz="4" w:space="0" w:color="000000"/>
              <w:bottom w:val="single" w:sz="4" w:space="0" w:color="000000"/>
            </w:tcBorders>
          </w:tcPr>
          <w:p>
            <w:pPr>
              <w:pStyle w:val="Style22"/>
              <w:widowControl w:val="false"/>
              <w:spacing w:lineRule="auto" w:line="240"/>
              <w:rPr>
                <w:sz w:val="18"/>
                <w:szCs w:val="18"/>
              </w:rPr>
            </w:pPr>
            <w:r>
              <w:rPr>
                <w:sz w:val="18"/>
                <w:szCs w:val="18"/>
              </w:rPr>
              <w:t>«Вдруг приснилось мне, что я беру револьвер и, сидя, наставляю его прямо в сердце — в сердце, а не в голову...»; «Глубокое негодование загорелось вдруг в сердце моем, и вдруг я почувствовал в нем физическую боль...»</w:t>
            </w:r>
          </w:p>
        </w:tc>
        <w:tc>
          <w:tcPr>
            <w:tcW w:w="4518" w:type="dxa"/>
            <w:tcBorders>
              <w:top w:val="single" w:sz="4" w:space="0" w:color="000000"/>
              <w:left w:val="single" w:sz="4" w:space="0" w:color="000000"/>
              <w:bottom w:val="single" w:sz="4" w:space="0" w:color="000000"/>
              <w:right w:val="single" w:sz="4" w:space="0" w:color="000000"/>
            </w:tcBorders>
          </w:tcPr>
          <w:p>
            <w:pPr>
              <w:pStyle w:val="Style22"/>
              <w:widowControl w:val="false"/>
              <w:spacing w:lineRule="auto" w:line="240"/>
              <w:rPr/>
            </w:pPr>
            <w:r>
              <w:rPr/>
              <w:t>осложнение мотивом страдания и боли — примечательный сам по себе факт валентности мотива «сердце»</w:t>
            </w:r>
          </w:p>
        </w:tc>
      </w:tr>
      <w:tr>
        <w:trPr/>
        <w:tc>
          <w:tcPr>
            <w:tcW w:w="4369" w:type="dxa"/>
            <w:tcBorders>
              <w:left w:val="single" w:sz="4" w:space="0" w:color="000000"/>
              <w:bottom w:val="single" w:sz="4" w:space="0" w:color="000000"/>
            </w:tcBorders>
          </w:tcPr>
          <w:p>
            <w:pPr>
              <w:pStyle w:val="Style22"/>
              <w:widowControl w:val="false"/>
              <w:spacing w:lineRule="auto" w:line="240"/>
              <w:rPr>
                <w:sz w:val="18"/>
                <w:szCs w:val="18"/>
              </w:rPr>
            </w:pPr>
            <w:r>
              <w:rPr>
                <w:sz w:val="18"/>
                <w:szCs w:val="18"/>
              </w:rPr>
              <w:t xml:space="preserve">«...Совершалось все так, как всегда во сне, когда перескакиваешь через пространство и время и останавливаешься лишь на точках, о которых грезит сердце»; «Я ждал совершенного небытия и с тем выстрелил себе в сердце»                              </w:t>
            </w:r>
          </w:p>
        </w:tc>
        <w:tc>
          <w:tcPr>
            <w:tcW w:w="4518" w:type="dxa"/>
            <w:tcBorders>
              <w:left w:val="single" w:sz="4" w:space="0" w:color="000000"/>
              <w:bottom w:val="single" w:sz="4" w:space="0" w:color="000000"/>
              <w:right w:val="single" w:sz="4" w:space="0" w:color="000000"/>
            </w:tcBorders>
          </w:tcPr>
          <w:p>
            <w:pPr>
              <w:pStyle w:val="Style22"/>
              <w:widowControl w:val="false"/>
              <w:spacing w:lineRule="auto" w:line="240"/>
              <w:rPr/>
            </w:pPr>
            <w:r>
              <w:rPr/>
              <w:t>именно с сердцем идентифицируется личность человека, полнота его личностной экзистенции</w:t>
            </w:r>
          </w:p>
        </w:tc>
      </w:tr>
      <w:tr>
        <w:trPr/>
        <w:tc>
          <w:tcPr>
            <w:tcW w:w="4369" w:type="dxa"/>
            <w:tcBorders>
              <w:left w:val="single" w:sz="4" w:space="0" w:color="000000"/>
              <w:bottom w:val="single" w:sz="4" w:space="0" w:color="000000"/>
            </w:tcBorders>
          </w:tcPr>
          <w:p>
            <w:pPr>
              <w:pStyle w:val="Style22"/>
              <w:widowControl w:val="false"/>
              <w:spacing w:lineRule="auto" w:line="240"/>
              <w:rPr/>
            </w:pPr>
            <w:r>
              <w:rPr/>
              <w:t>«...Но сущность сердца моего оставалась со мною во всей глубине»</w:t>
            </w:r>
          </w:p>
        </w:tc>
        <w:tc>
          <w:tcPr>
            <w:tcW w:w="4518" w:type="dxa"/>
            <w:tcBorders>
              <w:left w:val="single" w:sz="4" w:space="0" w:color="000000"/>
              <w:bottom w:val="single" w:sz="4" w:space="0" w:color="000000"/>
              <w:right w:val="single" w:sz="4" w:space="0" w:color="000000"/>
            </w:tcBorders>
          </w:tcPr>
          <w:p>
            <w:pPr>
              <w:pStyle w:val="Style22"/>
              <w:widowControl w:val="false"/>
              <w:spacing w:lineRule="auto" w:line="240"/>
              <w:rPr>
                <w:sz w:val="20"/>
                <w:szCs w:val="20"/>
              </w:rPr>
            </w:pPr>
            <w:r>
              <w:rPr>
                <w:sz w:val="20"/>
                <w:szCs w:val="20"/>
              </w:rPr>
              <w:t>глубина сердца, его сокровенность — важнейший параметр духовной жизни человека</w:t>
            </w:r>
          </w:p>
        </w:tc>
      </w:tr>
      <w:tr>
        <w:trPr/>
        <w:tc>
          <w:tcPr>
            <w:tcW w:w="4369" w:type="dxa"/>
            <w:tcBorders>
              <w:left w:val="single" w:sz="4" w:space="0" w:color="000000"/>
              <w:bottom w:val="single" w:sz="4" w:space="0" w:color="000000"/>
            </w:tcBorders>
          </w:tcPr>
          <w:p>
            <w:pPr>
              <w:pStyle w:val="Style22"/>
              <w:widowControl w:val="false"/>
              <w:spacing w:lineRule="auto" w:line="240"/>
              <w:rPr>
                <w:sz w:val="18"/>
                <w:szCs w:val="18"/>
              </w:rPr>
            </w:pPr>
            <w:r>
              <w:rPr>
                <w:sz w:val="18"/>
                <w:szCs w:val="18"/>
              </w:rPr>
              <w:t>трах нарастал в моем сердце»; «Я ждал чего-то в страшной, измучившей мое сердце тоске»; «...родная сила света, того же, который родил меня, отозвалась в моем сердце и воскресила его, и я ощутил жизнь, прежнюю жизнь, в первый раз после моей могилы»</w:t>
            </w:r>
          </w:p>
        </w:tc>
        <w:tc>
          <w:tcPr>
            <w:tcW w:w="4518" w:type="dxa"/>
            <w:tcBorders>
              <w:left w:val="single" w:sz="4" w:space="0" w:color="000000"/>
              <w:bottom w:val="single" w:sz="4" w:space="0" w:color="000000"/>
              <w:right w:val="single" w:sz="4" w:space="0" w:color="000000"/>
            </w:tcBorders>
          </w:tcPr>
          <w:p>
            <w:pPr>
              <w:pStyle w:val="Style22"/>
              <w:widowControl w:val="false"/>
              <w:spacing w:lineRule="auto" w:line="240"/>
              <w:rPr/>
            </w:pPr>
            <w:r>
              <w:rPr/>
              <w:t>соседство мотивов «сердца» и «воскресения» свидетельствует о полноте духовного преображения человека</w:t>
            </w:r>
          </w:p>
        </w:tc>
      </w:tr>
      <w:tr>
        <w:trPr/>
        <w:tc>
          <w:tcPr>
            <w:tcW w:w="4369" w:type="dxa"/>
            <w:tcBorders>
              <w:left w:val="single" w:sz="4" w:space="0" w:color="000000"/>
              <w:bottom w:val="single" w:sz="4" w:space="0" w:color="000000"/>
            </w:tcBorders>
          </w:tcPr>
          <w:p>
            <w:pPr>
              <w:pStyle w:val="Style22"/>
              <w:widowControl w:val="false"/>
              <w:spacing w:lineRule="auto" w:line="240"/>
              <w:rPr>
                <w:sz w:val="18"/>
                <w:szCs w:val="18"/>
              </w:rPr>
            </w:pPr>
            <w:r>
              <w:rPr>
                <w:sz w:val="18"/>
                <w:szCs w:val="18"/>
              </w:rPr>
              <w:t>«Они не страдали за меня, когда я, в слезах, порою целовал их ноги, радостно зная в сердце своем, какою силой любви они мне ответят»</w:t>
            </w:r>
          </w:p>
        </w:tc>
        <w:tc>
          <w:tcPr>
            <w:tcW w:w="4518" w:type="dxa"/>
            <w:tcBorders>
              <w:left w:val="single" w:sz="4" w:space="0" w:color="000000"/>
              <w:bottom w:val="single" w:sz="4" w:space="0" w:color="000000"/>
              <w:right w:val="single" w:sz="4" w:space="0" w:color="000000"/>
            </w:tcBorders>
          </w:tcPr>
          <w:p>
            <w:pPr>
              <w:pStyle w:val="Style22"/>
              <w:widowControl w:val="false"/>
              <w:spacing w:lineRule="auto" w:line="240"/>
              <w:rPr>
                <w:sz w:val="18"/>
                <w:szCs w:val="18"/>
              </w:rPr>
            </w:pPr>
            <w:r>
              <w:rPr>
                <w:sz w:val="18"/>
                <w:szCs w:val="18"/>
              </w:rPr>
              <w:t>«сознание» сердца — это выражение, несмотря на всю его оксюморонность, очень точно передает область сердечных предвидений и предчувствий, своего рода мудрость откровения сердца</w:t>
            </w:r>
          </w:p>
        </w:tc>
      </w:tr>
      <w:tr>
        <w:trPr/>
        <w:tc>
          <w:tcPr>
            <w:tcW w:w="4369" w:type="dxa"/>
            <w:tcBorders>
              <w:left w:val="single" w:sz="4" w:space="0" w:color="000000"/>
              <w:bottom w:val="single" w:sz="4" w:space="0" w:color="000000"/>
            </w:tcBorders>
          </w:tcPr>
          <w:p>
            <w:pPr>
              <w:pStyle w:val="Style22"/>
              <w:widowControl w:val="false"/>
              <w:spacing w:lineRule="auto" w:line="240"/>
              <w:rPr>
                <w:sz w:val="18"/>
                <w:szCs w:val="18"/>
              </w:rPr>
            </w:pPr>
            <w:r>
              <w:rPr>
                <w:sz w:val="18"/>
                <w:szCs w:val="18"/>
              </w:rPr>
              <w:t xml:space="preserve"> </w:t>
            </w:r>
            <w:r>
              <w:rPr>
                <w:sz w:val="18"/>
                <w:szCs w:val="18"/>
              </w:rPr>
              <w:t>«...Они [песни] выливались из сердца и проницали сердца» «Оно [значение песен] оставалось как бы недоступно моему уму, зато сердце мое как бы проникалось им безотчетно и все более и более»; «...я предчувствовал всех их и славу их в снах моего сердца и в мечтах ума моего».</w:t>
            </w:r>
          </w:p>
        </w:tc>
        <w:tc>
          <w:tcPr>
            <w:tcW w:w="4518" w:type="dxa"/>
            <w:tcBorders>
              <w:left w:val="single" w:sz="4" w:space="0" w:color="000000"/>
              <w:bottom w:val="single" w:sz="4" w:space="0" w:color="000000"/>
              <w:right w:val="single" w:sz="4" w:space="0" w:color="000000"/>
            </w:tcBorders>
          </w:tcPr>
          <w:p>
            <w:pPr>
              <w:pStyle w:val="Style22"/>
              <w:widowControl w:val="false"/>
              <w:spacing w:lineRule="auto" w:line="240"/>
              <w:rPr>
                <w:sz w:val="18"/>
                <w:szCs w:val="18"/>
              </w:rPr>
            </w:pPr>
            <w:r>
              <w:rPr>
                <w:sz w:val="18"/>
                <w:szCs w:val="18"/>
              </w:rPr>
              <w:t xml:space="preserve"> </w:t>
            </w:r>
            <w:r>
              <w:rPr>
                <w:sz w:val="18"/>
                <w:szCs w:val="18"/>
              </w:rPr>
              <w:t xml:space="preserve">(ср. пушкинское «Глаголом жги сердца людей»); </w:t>
            </w:r>
          </w:p>
        </w:tc>
      </w:tr>
      <w:tr>
        <w:trPr/>
        <w:tc>
          <w:tcPr>
            <w:tcW w:w="4369" w:type="dxa"/>
            <w:tcBorders>
              <w:left w:val="single" w:sz="4" w:space="0" w:color="000000"/>
              <w:bottom w:val="single" w:sz="4" w:space="0" w:color="000000"/>
            </w:tcBorders>
          </w:tcPr>
          <w:p>
            <w:pPr>
              <w:pStyle w:val="Style22"/>
              <w:widowControl w:val="false"/>
              <w:spacing w:lineRule="auto" w:line="240"/>
              <w:rPr/>
            </w:pPr>
            <w:r>
              <w:rPr/>
              <w:t xml:space="preserve"> </w:t>
            </w:r>
            <w:r>
              <w:rPr>
                <w:sz w:val="18"/>
                <w:szCs w:val="18"/>
              </w:rPr>
              <w:t xml:space="preserve">«...Этот атом лжи проник в их сердца и понравился им»; «... они до того захотели быть невинными и счастливыми вновь, опять, что пали перед желанием сердца своего, как дети, обоготворили это желание, настроили храмов и стали молиться своей же идее...»                      </w:t>
            </w:r>
            <w:r>
              <w:rPr/>
              <w:t xml:space="preserve">                            </w:t>
            </w:r>
          </w:p>
        </w:tc>
        <w:tc>
          <w:tcPr>
            <w:tcW w:w="4518" w:type="dxa"/>
            <w:tcBorders>
              <w:left w:val="single" w:sz="4" w:space="0" w:color="000000"/>
              <w:bottom w:val="single" w:sz="4" w:space="0" w:color="000000"/>
              <w:right w:val="single" w:sz="4" w:space="0" w:color="000000"/>
            </w:tcBorders>
          </w:tcPr>
          <w:p>
            <w:pPr>
              <w:pStyle w:val="Style22"/>
              <w:widowControl w:val="false"/>
              <w:rPr/>
            </w:pPr>
            <w:r>
              <w:rPr/>
              <w:t>(страсть — не что иное, как идея, проникшая и завладевшая сердцем человеческим).</w:t>
            </w:r>
          </w:p>
        </w:tc>
      </w:tr>
    </w:tbl>
    <w:p>
      <w:pPr>
        <w:pStyle w:val="Style16"/>
        <w:spacing w:lineRule="auto" w:line="360"/>
        <w:jc w:val="both"/>
        <w:rPr>
          <w:u w:val="none"/>
        </w:rPr>
      </w:pPr>
      <w:r>
        <w:rPr>
          <w:u w:val="none"/>
        </w:rPr>
      </w:r>
    </w:p>
    <w:p>
      <w:pPr>
        <w:pStyle w:val="Style16"/>
        <w:spacing w:lineRule="auto" w:line="360"/>
        <w:jc w:val="both"/>
        <w:rPr>
          <w:sz w:val="22"/>
          <w:szCs w:val="22"/>
        </w:rPr>
      </w:pPr>
      <w:r>
        <w:rPr>
          <w:sz w:val="22"/>
          <w:szCs w:val="22"/>
          <w:u w:val="none"/>
        </w:rPr>
        <w:t xml:space="preserve">И здесь мы подходим к переломному моменту, к откровению которое вызывает удивление:  Герой удивляется, что сон «Пусть сон мой породило сердце мое, но разве одно сердце мое </w:t>
      </w:r>
      <w:r>
        <w:rPr>
          <w:sz w:val="22"/>
          <w:szCs w:val="22"/>
        </w:rPr>
        <w:t xml:space="preserve">в силах было породить ту ужасную правду, которая потом случилась со мной? Как бы мог я ее один выдумать или пригрезить сердцем? Неужели же </w:t>
      </w:r>
      <w:r>
        <w:rPr>
          <w:sz w:val="22"/>
          <w:szCs w:val="22"/>
          <w:u w:val="single"/>
        </w:rPr>
        <w:t>мелкое сердце мое и капризный, ничтожный ум мой</w:t>
      </w:r>
      <w:r>
        <w:rPr>
          <w:sz w:val="22"/>
          <w:szCs w:val="22"/>
        </w:rPr>
        <w:t xml:space="preserve"> могли возвыситься до такого откровения правды!» Вероятно, что для откровения нужен кто-то внешний по отношению к человеку, кто-то, кто не поддаётся исследованию научными позитивистскими методами. </w:t>
      </w:r>
      <w:r>
        <w:rPr>
          <w:sz w:val="22"/>
          <w:szCs w:val="22"/>
        </w:rPr>
        <w:t>Таким образом Роль ценностной оппозиции ум – сердце -- Фон для более значимого, внечеловеческого откровения, которое разворачивается с автором во сне.</w:t>
      </w:r>
    </w:p>
    <w:p>
      <w:pPr>
        <w:pStyle w:val="Style16"/>
        <w:spacing w:lineRule="auto" w:line="360" w:before="0" w:after="140"/>
        <w:jc w:val="both"/>
        <w:rPr>
          <w:sz w:val="22"/>
          <w:szCs w:val="22"/>
        </w:rPr>
      </w:pPr>
      <w:r>
        <w:rPr/>
      </w:r>
    </w:p>
    <w:sectPr>
      <w:footnotePr>
        <w:numFmt w:val="decimal"/>
      </w:footnotePr>
      <w:type w:val="nextPage"/>
      <w:pgSz w:w="11906" w:h="16838"/>
      <w:pgMar w:left="1440" w:right="1440" w:gutter="0" w:header="0" w:top="709"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roman"/>
    <w:pitch w:val="variable"/>
  </w:font>
  <w:font w:name="Calibri">
    <w:charset w:val="01"/>
    <w:family w:val="roman"/>
    <w:pitch w:val="variable"/>
  </w:font>
  <w:font w:name="Liberation Sans">
    <w:altName w:val="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Style21"/>
        <w:rPr/>
      </w:pPr>
      <w:r>
        <w:rPr>
          <w:rStyle w:val="Style11"/>
        </w:rPr>
        <w:footnoteRef/>
      </w:r>
      <w:r>
        <w:rPr/>
        <w:tab/>
        <w:t xml:space="preserve">Бердяев Н. А. О русских классиках. М., 1993. С. 55.           </w:t>
      </w:r>
    </w:p>
  </w:footnote>
  <w:footnote w:id="3">
    <w:p>
      <w:pPr>
        <w:pStyle w:val="Style21"/>
        <w:rPr/>
      </w:pPr>
      <w:r>
        <w:rPr>
          <w:rStyle w:val="Style11"/>
        </w:rPr>
        <w:footnoteRef/>
      </w:r>
      <w:r>
        <w:rPr/>
        <w:tab/>
        <w:t>Бахтин М. М. Проблемы поэтики Достоевского // Бахтин М. М. Собр. соч. :</w:t>
      </w:r>
    </w:p>
    <w:p>
      <w:pPr>
        <w:pStyle w:val="Style21"/>
        <w:rPr/>
      </w:pPr>
      <w:r>
        <w:rPr/>
        <w:t>в 7 т. М., 2002. Т. 6. С. 167–169.</w:t>
      </w:r>
    </w:p>
  </w:footnote>
  <w:footnote w:id="4">
    <w:p>
      <w:pPr>
        <w:pStyle w:val="Style21"/>
        <w:rPr/>
      </w:pPr>
      <w:r>
        <w:rPr>
          <w:rStyle w:val="Style11"/>
        </w:rPr>
        <w:footnoteRef/>
      </w:r>
      <w:r>
        <w:rPr/>
        <w:tab/>
        <w:t>Достоевский Ф. М. Полное собрание сочинений : в 30 т. Л., 1990. т. 13, с. 115</w:t>
      </w:r>
    </w:p>
  </w:footnote>
  <w:footnote w:id="5">
    <w:p>
      <w:pPr>
        <w:pStyle w:val="Style21"/>
        <w:rPr/>
      </w:pPr>
      <w:r>
        <w:rPr>
          <w:rStyle w:val="Style11"/>
        </w:rPr>
        <w:footnoteRef/>
      </w:r>
      <w:r>
        <w:rPr/>
        <w:tab/>
        <w:t>Бердяев Н. А. О русских классиках. М., 1993. С. 55.</w:t>
      </w:r>
    </w:p>
  </w:footnote>
  <w:footnote w:id="6">
    <w:p>
      <w:pPr>
        <w:pStyle w:val="Style21"/>
        <w:rPr/>
      </w:pPr>
      <w:r>
        <w:rPr>
          <w:rStyle w:val="Style11"/>
        </w:rPr>
        <w:footnoteRef/>
      </w:r>
      <w:r>
        <w:rPr/>
        <w:tab/>
        <w:t>Зырянов, О. В. Русская классическая словесность в этноконфессиональной перспективе с. 178</w:t>
      </w:r>
    </w:p>
  </w:footnote>
  <w:footnote w:id="7">
    <w:p>
      <w:pPr>
        <w:pStyle w:val="Style21"/>
        <w:rPr/>
      </w:pPr>
      <w:r>
        <w:rPr>
          <w:rStyle w:val="Style11"/>
        </w:rPr>
        <w:footnoteRef/>
      </w:r>
      <w:r>
        <w:rPr/>
        <w:tab/>
        <w:t xml:space="preserve">Там же, </w:t>
      </w:r>
      <w:r>
        <w:rPr/>
        <w:t>с. 179</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Times New Roman" w:eastAsiaTheme="minorEastAsia"/>
        <w:sz w:val="22"/>
        <w:szCs w:val="22"/>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1103b"/>
    <w:pPr>
      <w:widowControl/>
      <w:suppressAutoHyphens w:val="true"/>
      <w:bidi w:val="0"/>
      <w:spacing w:lineRule="auto" w:line="360" w:before="0" w:after="0"/>
      <w:jc w:val="both"/>
    </w:pPr>
    <w:rPr>
      <w:rFonts w:ascii="Times New Roman" w:hAnsi="Times New Roman" w:eastAsia="" w:cs="Times New Roman" w:eastAsiaTheme="minorEastAsia"/>
      <w:color w:val="auto"/>
      <w:kern w:val="0"/>
      <w:sz w:val="22"/>
      <w:szCs w:val="22"/>
      <w:lang w:val="ru-RU" w:eastAsia="ru-RU" w:bidi="ar-SA"/>
    </w:rPr>
  </w:style>
  <w:style w:type="paragraph" w:styleId="4">
    <w:name w:val="Heading 4"/>
    <w:basedOn w:val="Style15"/>
    <w:next w:val="Style16"/>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
    <w:name w:val="Hyperlink"/>
    <w:basedOn w:val="DefaultParagraphFont"/>
    <w:uiPriority w:val="99"/>
    <w:unhideWhenUsed/>
    <w:rsid w:val="004d5bdc"/>
    <w:rPr>
      <w:color w:val="0000FF"/>
      <w:u w:val="single"/>
    </w:rPr>
  </w:style>
  <w:style w:type="character" w:styleId="Style8" w:customStyle="1">
    <w:name w:val="Текст выноски Знак"/>
    <w:basedOn w:val="DefaultParagraphFont"/>
    <w:link w:val="BalloonText"/>
    <w:uiPriority w:val="99"/>
    <w:semiHidden/>
    <w:qFormat/>
    <w:rsid w:val="00205338"/>
    <w:rPr>
      <w:rFonts w:ascii="Segoe UI" w:hAnsi="Segoe UI" w:cs="Segoe UI"/>
      <w:sz w:val="18"/>
      <w:szCs w:val="18"/>
    </w:rPr>
  </w:style>
  <w:style w:type="character" w:styleId="Style9" w:customStyle="1">
    <w:name w:val="Абзац списка Знак"/>
    <w:link w:val="ListParagraph"/>
    <w:uiPriority w:val="34"/>
    <w:qFormat/>
    <w:locked/>
    <w:rsid w:val="008e6547"/>
    <w:rPr/>
  </w:style>
  <w:style w:type="character" w:styleId="Style10" w:customStyle="1">
    <w:name w:val="Основной текст с отступом Знак"/>
    <w:basedOn w:val="DefaultParagraphFont"/>
    <w:uiPriority w:val="99"/>
    <w:qFormat/>
    <w:rsid w:val="00f658b2"/>
    <w:rPr>
      <w:rFonts w:ascii="Calibri" w:hAnsi="Calibri" w:eastAsia="Times New Roman" w:asciiTheme="minorHAnsi" w:hAnsiTheme="minorHAnsi"/>
      <w:sz w:val="24"/>
      <w:szCs w:val="24"/>
      <w:lang w:val="en-US" w:eastAsia="en-US"/>
    </w:rPr>
  </w:style>
  <w:style w:type="character" w:styleId="Style11">
    <w:name w:val="Символ сноски"/>
    <w:qFormat/>
    <w:rPr>
      <w:vertAlign w:val="superscript"/>
    </w:rPr>
  </w:style>
  <w:style w:type="character" w:styleId="Style12">
    <w:name w:val="Footnote Reference"/>
    <w:rPr>
      <w:vertAlign w:val="superscript"/>
    </w:rPr>
  </w:style>
  <w:style w:type="character" w:styleId="Style13">
    <w:name w:val="Символ концевой сноски"/>
    <w:qFormat/>
    <w:rPr>
      <w:vertAlign w:val="superscript"/>
    </w:rPr>
  </w:style>
  <w:style w:type="character" w:styleId="Style14">
    <w:name w:val="Endnote Reference"/>
    <w:rPr>
      <w:vertAlign w:val="superscript"/>
    </w:rPr>
  </w:style>
  <w:style w:type="paragraph" w:styleId="Style15">
    <w:name w:val="Заголовок"/>
    <w:basedOn w:val="Normal"/>
    <w:next w:val="Style16"/>
    <w:qFormat/>
    <w:pPr>
      <w:keepNext w:val="true"/>
      <w:spacing w:before="240" w:after="120"/>
    </w:pPr>
    <w:rPr>
      <w:rFonts w:ascii="Liberation Sans" w:hAnsi="Liberation Sans" w:eastAsia="Nimbus Sans" w:cs="FreeSans"/>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FreeSans"/>
    </w:rPr>
  </w:style>
  <w:style w:type="paragraph" w:styleId="Style18">
    <w:name w:val="Caption"/>
    <w:basedOn w:val="Normal"/>
    <w:qFormat/>
    <w:pPr>
      <w:suppressLineNumbers/>
      <w:spacing w:before="120" w:after="120"/>
    </w:pPr>
    <w:rPr>
      <w:rFonts w:cs="FreeSans"/>
      <w:i/>
      <w:iCs/>
      <w:sz w:val="24"/>
      <w:szCs w:val="24"/>
    </w:rPr>
  </w:style>
  <w:style w:type="paragraph" w:styleId="Style19">
    <w:name w:val="Указатель"/>
    <w:basedOn w:val="Normal"/>
    <w:qFormat/>
    <w:pPr>
      <w:suppressLineNumbers/>
    </w:pPr>
    <w:rPr>
      <w:rFonts w:cs="FreeSans"/>
    </w:rPr>
  </w:style>
  <w:style w:type="paragraph" w:styleId="ListParagraph">
    <w:name w:val="List Paragraph"/>
    <w:basedOn w:val="Normal"/>
    <w:link w:val="Style9"/>
    <w:uiPriority w:val="34"/>
    <w:qFormat/>
    <w:rsid w:val="0021103b"/>
    <w:pPr>
      <w:spacing w:before="0" w:after="0"/>
      <w:ind w:left="720" w:hanging="0"/>
      <w:contextualSpacing/>
    </w:pPr>
    <w:rPr/>
  </w:style>
  <w:style w:type="paragraph" w:styleId="NormalWeb">
    <w:name w:val="Normal (Web)"/>
    <w:basedOn w:val="Normal"/>
    <w:uiPriority w:val="99"/>
    <w:semiHidden/>
    <w:unhideWhenUsed/>
    <w:qFormat/>
    <w:rsid w:val="007530e2"/>
    <w:pPr/>
    <w:rPr>
      <w:sz w:val="24"/>
      <w:szCs w:val="24"/>
    </w:rPr>
  </w:style>
  <w:style w:type="paragraph" w:styleId="BalloonText">
    <w:name w:val="Balloon Text"/>
    <w:basedOn w:val="Normal"/>
    <w:link w:val="Style8"/>
    <w:uiPriority w:val="99"/>
    <w:semiHidden/>
    <w:unhideWhenUsed/>
    <w:qFormat/>
    <w:rsid w:val="00205338"/>
    <w:pPr/>
    <w:rPr>
      <w:rFonts w:ascii="Segoe UI" w:hAnsi="Segoe UI" w:cs="Segoe UI"/>
      <w:sz w:val="18"/>
      <w:szCs w:val="18"/>
    </w:rPr>
  </w:style>
  <w:style w:type="paragraph" w:styleId="Style20">
    <w:name w:val="Body Text Indent"/>
    <w:basedOn w:val="Normal"/>
    <w:link w:val="Style10"/>
    <w:uiPriority w:val="99"/>
    <w:rsid w:val="00f658b2"/>
    <w:pPr>
      <w:spacing w:before="0" w:after="120"/>
      <w:ind w:left="283" w:hanging="0"/>
    </w:pPr>
    <w:rPr>
      <w:rFonts w:ascii="Calibri" w:hAnsi="Calibri" w:eastAsia="Times New Roman" w:asciiTheme="minorHAnsi" w:hAnsiTheme="minorHAnsi"/>
      <w:sz w:val="24"/>
      <w:szCs w:val="24"/>
      <w:lang w:val="en-US" w:eastAsia="en-US"/>
    </w:rPr>
  </w:style>
  <w:style w:type="paragraph" w:styleId="Style21">
    <w:name w:val="Footnote Text"/>
    <w:basedOn w:val="Normal"/>
    <w:pPr>
      <w:suppressLineNumbers/>
      <w:ind w:left="340" w:hanging="340"/>
    </w:pPr>
    <w:rPr>
      <w:sz w:val="20"/>
      <w:szCs w:val="20"/>
    </w:rPr>
  </w:style>
  <w:style w:type="paragraph" w:styleId="Style22">
    <w:name w:val="Содержимое таблицы"/>
    <w:basedOn w:val="Normal"/>
    <w:qFormat/>
    <w:pPr>
      <w:widowControl w:val="false"/>
      <w:suppressLineNumbers/>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9">
    <w:name w:val="Table Grid"/>
    <w:basedOn w:val="a1"/>
    <w:uiPriority w:val="59"/>
    <w:rsid w:val="00f8232b"/>
    <w:rPr>
      <w:rFonts w:asciiTheme="minorHAnsi" w:hAnsiTheme="minorHAnsi" w:eastAsiaTheme="minorHAnsi" w:cstheme="minorBid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50F964-0120-4214-9280-008E8EC04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Application>LibreOffice/7.5.0.3$Linux_X86_64 LibreOffice_project/50$Build-3</Application>
  <AppVersion>15.0000</AppVersion>
  <Pages>6</Pages>
  <Words>1490</Words>
  <Characters>9522</Characters>
  <CharactersWithSpaces>11160</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2022-02-19T09:05:00Z</dcterms:created>
  <dc:creator>Windows User</dc:creator>
  <dc:description/>
  <dc:language>ru-RU</dc:language>
  <cp:lastModifiedBy>Кирилл Ильич Назаров</cp:lastModifiedBy>
  <cp:lastPrinted>2019-02-21T12:38:00Z</cp:lastPrinted>
  <dcterms:modified xsi:type="dcterms:W3CDTF">2023-02-17T18:56:44Z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