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Architecture Decision Records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deebvpqxkk0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Заголовок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Перехід на модульной моноліт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hrytim5pgd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Контекст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Поточна архітектура проєкту базується на трирівневій (three-layered) структурі, яка з часом ускладнює масштабування, підтримку та внесення змін. Зі зростанням функціональності проєкту виникла потреба у більш гнучкому, масштабованому та підтримуваному рішенні. При цьому бажано зберегти простоту розгортання та уникнути повноцінного переходу на мікросервіси, які потребують додаткових інфраструктурних витрат.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9spuyau8f4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Рішення</w:t>
      </w:r>
    </w:p>
    <w:p w:rsidR="00000000" w:rsidDel="00000000" w:rsidP="00000000" w:rsidRDefault="00000000" w:rsidRPr="00000000" w14:paraId="00000008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Було прийнято рішення перейти на </w:t>
      </w:r>
      <w:r w:rsidDel="00000000" w:rsidR="00000000" w:rsidRPr="00000000">
        <w:rPr>
          <w:b w:val="1"/>
          <w:rtl w:val="0"/>
        </w:rPr>
        <w:t xml:space="preserve">модульний моноліт</w:t>
      </w:r>
      <w:r w:rsidDel="00000000" w:rsidR="00000000" w:rsidRPr="00000000">
        <w:rPr>
          <w:rtl w:val="0"/>
        </w:rPr>
        <w:t xml:space="preserve"> — архітектурний підхід, що поєднує переваги моноліту (простота розгортання, цілісність коду) та мікросервісів (ізоляція функціональності, розділення відповідальності).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Модульний моноліт передбачає розділення системи на окремі модулі, кожен з яких: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має чітко визначені межі відповідальності;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інкапсулює бізнес-логіку;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взаємодіє з іншими модулями через </w:t>
      </w:r>
      <w:r w:rsidDel="00000000" w:rsidR="00000000" w:rsidRPr="00000000">
        <w:rPr>
          <w:b w:val="1"/>
          <w:rtl w:val="0"/>
        </w:rPr>
        <w:t xml:space="preserve">публічні інтерфейси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rtl w:val="0"/>
        </w:rPr>
        <w:t xml:space="preserve">асинхронні повідомлення (event-driven design)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Таке розділення дозволяє командам працювати над модулями незалежно один від одного, зменшуючи ризик неузгоджених змін та полегшуючи тестування і розширення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tb5e3mjevy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Статус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Прийнято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sa9f8uow8x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Наслідки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Моноліт було розбито на дві частини: </w:t>
      </w:r>
      <w:r w:rsidDel="00000000" w:rsidR="00000000" w:rsidRPr="00000000">
        <w:rPr>
          <w:b w:val="1"/>
          <w:rtl w:val="0"/>
        </w:rPr>
        <w:t xml:space="preserve">Students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rtl w:val="0"/>
        </w:rPr>
        <w:t xml:space="preserve">Works</w:t>
      </w:r>
      <w:r w:rsidDel="00000000" w:rsidR="00000000" w:rsidRPr="00000000">
        <w:rPr>
          <w:rtl w:val="0"/>
        </w:rPr>
        <w:t xml:space="preserve">, кожна з яких ізольовано одна від одної і обмінюється даними за допомогою брокера повідомлень RabbitMq. Стало простіше працювати над частинами, внутрішня реалізація модуля може змінюватися без впливу на інші модулі, за умови збереження контракту, систему стало простіше розширювати а процес розгортання майже не змінився. Також, як невеличкий бонус, модульна архітектура полегшує потенційний поділ на мікросервіси в майбутньому.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1jdl8zt46lg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Заголовок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Використання чистої архітектури в модулях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dr1glnqh9d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Контекст</w:t>
      </w:r>
    </w:p>
    <w:p w:rsidR="00000000" w:rsidDel="00000000" w:rsidP="00000000" w:rsidRDefault="00000000" w:rsidRPr="00000000" w14:paraId="00000015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Із переходом до модульного моноліту кожен функціональний блок (модуль) став самостійною одиницею, яка відповідає за окрему частину бізнес-логіки. Для підвищення якості коду, покращення тестованості, спрощення підтримки та підготовки до потенційної незалежної міграції модулів (наприклад, до мікросервісів) виникла потреба у впровадженні архітектурного шаблону, який забезпечить чітке розділення відповідальностей.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Було розглянуто кілька підходів, і найбільш відповідним виявилася </w:t>
      </w:r>
      <w:r w:rsidDel="00000000" w:rsidR="00000000" w:rsidRPr="00000000">
        <w:rPr>
          <w:b w:val="1"/>
          <w:rtl w:val="0"/>
        </w:rPr>
        <w:t xml:space="preserve">чиста архітектура (Clean Architecture)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3p7b5uqxw1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Рішення</w:t>
      </w:r>
    </w:p>
    <w:p w:rsidR="00000000" w:rsidDel="00000000" w:rsidP="00000000" w:rsidRDefault="00000000" w:rsidRPr="00000000" w14:paraId="00000018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Було прийнято впровадити </w:t>
      </w:r>
      <w:r w:rsidDel="00000000" w:rsidR="00000000" w:rsidRPr="00000000">
        <w:rPr>
          <w:b w:val="1"/>
          <w:rtl w:val="0"/>
        </w:rPr>
        <w:t xml:space="preserve">чисту архітектуру</w:t>
      </w:r>
      <w:r w:rsidDel="00000000" w:rsidR="00000000" w:rsidRPr="00000000">
        <w:rPr>
          <w:rtl w:val="0"/>
        </w:rPr>
        <w:t xml:space="preserve"> всередині кожного модуля. Цей підхід забезпечує: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Інверсію залежностей</w:t>
      </w:r>
      <w:r w:rsidDel="00000000" w:rsidR="00000000" w:rsidRPr="00000000">
        <w:rPr>
          <w:rtl w:val="0"/>
        </w:rPr>
        <w:t xml:space="preserve"> — бізнес-логіка не залежить від інфраструктури.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Чітке розділення шарів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сутності, value-об'єкти, сервіси домену.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use cases, інтерфейси для зовнішньої взаємодії.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реалізації зовнішніх сервісів (БД, брокери повідомлень, API).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контролери, обробники повідомлень тощо.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Тестованість</w:t>
      </w:r>
      <w:r w:rsidDel="00000000" w:rsidR="00000000" w:rsidRPr="00000000">
        <w:rPr>
          <w:rtl w:val="0"/>
        </w:rPr>
        <w:t xml:space="preserve"> — доменна логіка та use cases легко покриваються unit-тестами без залежності від БД чи інших зовнішніх систем.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Гнучкість</w:t>
      </w:r>
      <w:r w:rsidDel="00000000" w:rsidR="00000000" w:rsidRPr="00000000">
        <w:rPr>
          <w:rtl w:val="0"/>
        </w:rPr>
        <w:t xml:space="preserve"> — заміна реалізацій (наприклад, іншої бази даних або способу доставки повідомлень) не впливає на core-логіку.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qnx4hal122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Статус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Прийнято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zp2btmhlkc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Наслідки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Організація модулів з дотриманням чистої архітектури внесла ряд покращень у бік гнучкості та розширюваності. Стало простіше інтегрувати шаблони CQRS, Mediator, Event-Driven Design у відповідних шарах. Зросла кількість файлів/структурних елементів у модулях, однак це компенсується кращою підтримуваністю та тестованістю. Кожен модуль тепер має чітку ієрархію шарів, залежності між якими спрямовані лише “всередину”.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