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02E6" w14:textId="77777777" w:rsidR="00A952E4" w:rsidRPr="00890B50" w:rsidRDefault="004D3550">
      <w:pPr>
        <w:jc w:val="center"/>
        <w:rPr>
          <w:b/>
          <w:sz w:val="32"/>
          <w:szCs w:val="32"/>
        </w:rPr>
      </w:pPr>
      <w:r w:rsidRPr="00890B50">
        <w:rPr>
          <w:b/>
          <w:sz w:val="32"/>
          <w:szCs w:val="32"/>
        </w:rPr>
        <w:t>Информационная справка по обращениям жителей г. Бежецк</w:t>
      </w:r>
      <w:r w:rsidR="0084742F" w:rsidRPr="00890B50">
        <w:rPr>
          <w:b/>
          <w:sz w:val="32"/>
          <w:szCs w:val="32"/>
        </w:rPr>
        <w:br/>
      </w:r>
    </w:p>
    <w:p w14:paraId="1B0C993E" w14:textId="69C2E3A0" w:rsidR="00FF1277" w:rsidRPr="00890B50" w:rsidRDefault="00FF1277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Амбулаторная помощь детскому населению, проживающему на территории Бежецкого района, оказывается в детской поликлинике государственного бюджетного учреждения здравоохранения Тверской области «Бежецкая центральная районная больница» (далее – </w:t>
      </w:r>
      <w:r w:rsidR="00890B50">
        <w:rPr>
          <w:sz w:val="32"/>
          <w:szCs w:val="32"/>
        </w:rPr>
        <w:t xml:space="preserve">                   </w:t>
      </w:r>
      <w:r w:rsidRPr="00890B50">
        <w:rPr>
          <w:sz w:val="32"/>
          <w:szCs w:val="32"/>
        </w:rPr>
        <w:t>ГБУЗ «Бежецкая ЦРБ»), а также на 21 фельдшерско-акушерском пункте и 8 кабинетах врача общей практики.</w:t>
      </w:r>
    </w:p>
    <w:p w14:paraId="4D5F9E17" w14:textId="292A374A" w:rsidR="00FF1277" w:rsidRPr="00890B50" w:rsidRDefault="00FF1277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В ГБУЗ «Бежецкая ЦРБ» получают медицинскую помощь </w:t>
      </w:r>
      <w:r w:rsidR="00890B50">
        <w:rPr>
          <w:sz w:val="32"/>
          <w:szCs w:val="32"/>
        </w:rPr>
        <w:t xml:space="preserve">                    </w:t>
      </w:r>
      <w:r w:rsidRPr="00890B50">
        <w:rPr>
          <w:sz w:val="32"/>
          <w:szCs w:val="32"/>
        </w:rPr>
        <w:t xml:space="preserve">5004 ребенка в возрасте от 0 до 17 лет, в том числе городское </w:t>
      </w:r>
      <w:r w:rsidR="00890B50">
        <w:rPr>
          <w:sz w:val="32"/>
          <w:szCs w:val="32"/>
        </w:rPr>
        <w:t xml:space="preserve">     </w:t>
      </w:r>
      <w:r w:rsidRPr="00890B50">
        <w:rPr>
          <w:sz w:val="32"/>
          <w:szCs w:val="32"/>
        </w:rPr>
        <w:t>население – 4154 ребенка, сельское – 850 детей.</w:t>
      </w:r>
    </w:p>
    <w:p w14:paraId="6840A588" w14:textId="3852BF30" w:rsidR="00FF1277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В детской поликлинике сложилась трудная с</w:t>
      </w:r>
      <w:r w:rsidR="00FF1277" w:rsidRPr="00890B50">
        <w:rPr>
          <w:sz w:val="32"/>
          <w:szCs w:val="32"/>
        </w:rPr>
        <w:t xml:space="preserve">итуация с кадровым обеспечением, на 6 педиатрических участках прием ведут </w:t>
      </w:r>
      <w:r w:rsidR="00890B50">
        <w:rPr>
          <w:sz w:val="32"/>
          <w:szCs w:val="32"/>
        </w:rPr>
        <w:t xml:space="preserve">                                       </w:t>
      </w:r>
      <w:r w:rsidR="00FF1277" w:rsidRPr="00890B50">
        <w:rPr>
          <w:sz w:val="32"/>
          <w:szCs w:val="32"/>
        </w:rPr>
        <w:t>3 участковых врача-педиатра.</w:t>
      </w:r>
    </w:p>
    <w:p w14:paraId="131B2FB2" w14:textId="75AE362A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Прием детского населения проводится в течение рабочего </w:t>
      </w:r>
      <w:proofErr w:type="gramStart"/>
      <w:r w:rsidRPr="00890B50">
        <w:rPr>
          <w:sz w:val="32"/>
          <w:szCs w:val="32"/>
        </w:rPr>
        <w:t xml:space="preserve">дня, </w:t>
      </w:r>
      <w:r w:rsidR="00890B50">
        <w:rPr>
          <w:sz w:val="32"/>
          <w:szCs w:val="32"/>
        </w:rPr>
        <w:t xml:space="preserve">  </w:t>
      </w:r>
      <w:proofErr w:type="gramEnd"/>
      <w:r w:rsidR="00890B50">
        <w:rPr>
          <w:sz w:val="32"/>
          <w:szCs w:val="32"/>
        </w:rPr>
        <w:t xml:space="preserve">            </w:t>
      </w:r>
      <w:r w:rsidRPr="00890B50">
        <w:rPr>
          <w:sz w:val="32"/>
          <w:szCs w:val="32"/>
        </w:rPr>
        <w:t>с 8</w:t>
      </w:r>
      <w:r w:rsidRPr="00890B50">
        <w:rPr>
          <w:sz w:val="32"/>
          <w:szCs w:val="32"/>
          <w:vertAlign w:val="superscript"/>
        </w:rPr>
        <w:t>00</w:t>
      </w:r>
      <w:r w:rsidR="00131B51" w:rsidRPr="00890B50">
        <w:rPr>
          <w:sz w:val="32"/>
          <w:szCs w:val="32"/>
        </w:rPr>
        <w:t xml:space="preserve"> до 17</w:t>
      </w:r>
      <w:r w:rsidRPr="00890B50">
        <w:rPr>
          <w:sz w:val="32"/>
          <w:szCs w:val="32"/>
          <w:vertAlign w:val="superscript"/>
        </w:rPr>
        <w:t>00</w:t>
      </w:r>
      <w:r w:rsidRPr="00890B50">
        <w:rPr>
          <w:sz w:val="32"/>
          <w:szCs w:val="32"/>
        </w:rPr>
        <w:t xml:space="preserve">, потоки больных и здоровых детей разделены. </w:t>
      </w:r>
    </w:p>
    <w:p w14:paraId="1501789D" w14:textId="485EAA45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По информации главного врача ГБУЗ «Бежецкая ЦРБ» в ноябре 2021 года к работе приступит фельдшер, который будет оказывать медицинскую помощь на дому при неотложных состояниях у детей.</w:t>
      </w:r>
    </w:p>
    <w:p w14:paraId="747CD44E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Кроме того, организован круглосуточный прием детей в приемном отделении ГБУЗ «Бежецкая ЦРБ» по обращаемости, отказов в осмотре детей не было.</w:t>
      </w:r>
    </w:p>
    <w:p w14:paraId="73E9BA28" w14:textId="77777777" w:rsidR="00A952E4" w:rsidRPr="00890B50" w:rsidRDefault="009D6D81" w:rsidP="00904EC0">
      <w:pPr>
        <w:pStyle w:val="ae"/>
        <w:ind w:left="0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Министерством здравоохранения Тверской области организованы выезды мобильных бригад медицинских организаций в отдаленные районы Тверской области.</w:t>
      </w:r>
    </w:p>
    <w:p w14:paraId="68977A41" w14:textId="3D991271" w:rsidR="00A952E4" w:rsidRPr="00890B50" w:rsidRDefault="009D6D81" w:rsidP="00904EC0">
      <w:pPr>
        <w:pStyle w:val="ae"/>
        <w:ind w:left="0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В Бежецкий район в 2021 году выезды осуществляет мобильная бригада </w:t>
      </w:r>
      <w:r w:rsidR="00890B50">
        <w:rPr>
          <w:sz w:val="32"/>
          <w:szCs w:val="32"/>
        </w:rPr>
        <w:t>ГБУЗ ТО</w:t>
      </w:r>
      <w:r w:rsidRPr="00890B50">
        <w:rPr>
          <w:sz w:val="32"/>
          <w:szCs w:val="32"/>
        </w:rPr>
        <w:t xml:space="preserve"> «Клиническая детская больница № 2» (далее – </w:t>
      </w:r>
      <w:r w:rsidR="00890B50">
        <w:rPr>
          <w:sz w:val="32"/>
          <w:szCs w:val="32"/>
        </w:rPr>
        <w:t xml:space="preserve">               </w:t>
      </w:r>
      <w:r w:rsidRPr="00890B50">
        <w:rPr>
          <w:sz w:val="32"/>
          <w:szCs w:val="32"/>
        </w:rPr>
        <w:t>ГБУЗ «КДБ № 2»).</w:t>
      </w:r>
    </w:p>
    <w:p w14:paraId="1639F4D8" w14:textId="77777777" w:rsidR="00A952E4" w:rsidRPr="00890B50" w:rsidRDefault="009D6D81" w:rsidP="00904EC0">
      <w:pPr>
        <w:pStyle w:val="ae"/>
        <w:ind w:left="0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Специалисты мобильной бригады осуществляют осмотр различных категорий детского населения, прикрепленного по медицинскому обслуживанию к ГБУЗ «Бежецкая ЦРБ» (дети до года, несовершеннолетние, сироты, опекаемые).</w:t>
      </w:r>
    </w:p>
    <w:p w14:paraId="4872C528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Выезды в ГБУЗ «Бежецкая ЦРБ» в 2021 году осуществлялись: </w:t>
      </w:r>
    </w:p>
    <w:p w14:paraId="76025C54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26.03.2021 – осмотр детей до 1 года; </w:t>
      </w:r>
    </w:p>
    <w:p w14:paraId="539D09AF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16.04.2021 – профилактический осмотр несовершеннолетних; </w:t>
      </w:r>
    </w:p>
    <w:p w14:paraId="4A89727D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05.05.2021 – профилактический осмотр несовершеннолетних; </w:t>
      </w:r>
    </w:p>
    <w:p w14:paraId="15F9FF2D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06.05.2021 – осмотр детей до 1 года; </w:t>
      </w:r>
    </w:p>
    <w:p w14:paraId="32BF2C0D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07.05.2021 – профилактический осмотр несовершеннолетних; </w:t>
      </w:r>
    </w:p>
    <w:p w14:paraId="6B09CC3B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16.05.2021 – профилактический осмотр несовершеннолетних; </w:t>
      </w:r>
    </w:p>
    <w:p w14:paraId="71ECE7A5" w14:textId="77777777" w:rsidR="00A952E4" w:rsidRPr="00890B50" w:rsidRDefault="009D6D81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18.0</w:t>
      </w:r>
      <w:r w:rsidR="0023193E" w:rsidRPr="00890B50">
        <w:rPr>
          <w:sz w:val="32"/>
          <w:szCs w:val="32"/>
        </w:rPr>
        <w:t>6.2021 – осмотр детей до 1 года;</w:t>
      </w:r>
    </w:p>
    <w:p w14:paraId="287F9AA8" w14:textId="77777777" w:rsidR="00A952E4" w:rsidRPr="00890B50" w:rsidRDefault="0023193E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27.08.2021 – </w:t>
      </w:r>
      <w:r w:rsidR="009D6D81" w:rsidRPr="00890B50">
        <w:rPr>
          <w:sz w:val="32"/>
          <w:szCs w:val="32"/>
        </w:rPr>
        <w:t>профилактический осмотр несовершеннолетних</w:t>
      </w:r>
      <w:r w:rsidRPr="00890B50">
        <w:rPr>
          <w:sz w:val="32"/>
          <w:szCs w:val="32"/>
        </w:rPr>
        <w:t>;</w:t>
      </w:r>
    </w:p>
    <w:p w14:paraId="425CE04B" w14:textId="77777777" w:rsidR="00A952E4" w:rsidRPr="00890B50" w:rsidRDefault="0023193E" w:rsidP="00904EC0">
      <w:pPr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lastRenderedPageBreak/>
        <w:t xml:space="preserve">28.10.2021 – </w:t>
      </w:r>
      <w:r w:rsidR="009D6D81" w:rsidRPr="00890B50">
        <w:rPr>
          <w:sz w:val="32"/>
          <w:szCs w:val="32"/>
        </w:rPr>
        <w:t>осмотр детей до 1 года</w:t>
      </w:r>
      <w:r w:rsidRPr="00890B50">
        <w:rPr>
          <w:sz w:val="32"/>
          <w:szCs w:val="32"/>
        </w:rPr>
        <w:t>;</w:t>
      </w:r>
    </w:p>
    <w:p w14:paraId="00157F1B" w14:textId="77777777" w:rsidR="00A952E4" w:rsidRPr="00890B50" w:rsidRDefault="009D6D81" w:rsidP="00904EC0">
      <w:pPr>
        <w:pStyle w:val="ae"/>
        <w:ind w:left="0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06.11.2021 </w:t>
      </w:r>
      <w:r w:rsidR="0023193E" w:rsidRPr="00890B50">
        <w:rPr>
          <w:sz w:val="32"/>
          <w:szCs w:val="32"/>
        </w:rPr>
        <w:t>–</w:t>
      </w:r>
      <w:r w:rsidRPr="00890B50">
        <w:rPr>
          <w:sz w:val="32"/>
          <w:szCs w:val="32"/>
        </w:rPr>
        <w:t xml:space="preserve"> осмотр опекаемых детей</w:t>
      </w:r>
      <w:r w:rsidR="0023193E" w:rsidRPr="00890B50">
        <w:rPr>
          <w:sz w:val="32"/>
          <w:szCs w:val="32"/>
        </w:rPr>
        <w:t>.</w:t>
      </w:r>
    </w:p>
    <w:p w14:paraId="53B9EAD3" w14:textId="77777777" w:rsidR="00A952E4" w:rsidRPr="00890B50" w:rsidRDefault="009D6D81" w:rsidP="00904EC0">
      <w:pPr>
        <w:pStyle w:val="ae"/>
        <w:ind w:left="0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Очередной выезд </w:t>
      </w:r>
      <w:r w:rsidR="006E4F18" w:rsidRPr="00890B50">
        <w:rPr>
          <w:sz w:val="32"/>
          <w:szCs w:val="32"/>
        </w:rPr>
        <w:t xml:space="preserve">мобильной бригады ГБУЗ «КДБ № 2» </w:t>
      </w:r>
      <w:r w:rsidRPr="00890B50">
        <w:rPr>
          <w:sz w:val="32"/>
          <w:szCs w:val="32"/>
        </w:rPr>
        <w:t xml:space="preserve">запланирован на начало декабря </w:t>
      </w:r>
      <w:r w:rsidR="006E4F18" w:rsidRPr="00890B50">
        <w:rPr>
          <w:sz w:val="32"/>
          <w:szCs w:val="32"/>
        </w:rPr>
        <w:t>2021 года, будет проведен осмотр детей в возрасте до одного</w:t>
      </w:r>
      <w:r w:rsidRPr="00890B50">
        <w:rPr>
          <w:sz w:val="32"/>
          <w:szCs w:val="32"/>
        </w:rPr>
        <w:t xml:space="preserve"> года</w:t>
      </w:r>
      <w:r w:rsidR="006E4F18" w:rsidRPr="00890B50">
        <w:rPr>
          <w:sz w:val="32"/>
          <w:szCs w:val="32"/>
        </w:rPr>
        <w:t>.</w:t>
      </w:r>
    </w:p>
    <w:p w14:paraId="1E728D74" w14:textId="77777777" w:rsidR="00A952E4" w:rsidRPr="00890B50" w:rsidRDefault="006E4F18" w:rsidP="00904EC0">
      <w:pPr>
        <w:pStyle w:val="ae"/>
        <w:ind w:left="0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В с</w:t>
      </w:r>
      <w:r w:rsidR="0023193E" w:rsidRPr="00890B50">
        <w:rPr>
          <w:sz w:val="32"/>
          <w:szCs w:val="32"/>
        </w:rPr>
        <w:t>остав мобильной бригады входят врачи-специалисты:</w:t>
      </w:r>
      <w:r w:rsidRPr="00890B50">
        <w:rPr>
          <w:sz w:val="32"/>
          <w:szCs w:val="32"/>
        </w:rPr>
        <w:t xml:space="preserve"> </w:t>
      </w:r>
      <w:r w:rsidR="009D6D81" w:rsidRPr="00890B50">
        <w:rPr>
          <w:sz w:val="32"/>
          <w:szCs w:val="32"/>
        </w:rPr>
        <w:t>педиатр, уролог, хирург, офт</w:t>
      </w:r>
      <w:r w:rsidR="0023193E" w:rsidRPr="00890B50">
        <w:rPr>
          <w:sz w:val="32"/>
          <w:szCs w:val="32"/>
        </w:rPr>
        <w:t>альмолог, ортопед, невролог, врач ультразвуковой диагностики, оториноларинголог</w:t>
      </w:r>
      <w:r w:rsidR="009D6D81" w:rsidRPr="00890B50">
        <w:rPr>
          <w:sz w:val="32"/>
          <w:szCs w:val="32"/>
        </w:rPr>
        <w:t>, гинеколог, эндокринолог, стоматолог.</w:t>
      </w:r>
    </w:p>
    <w:p w14:paraId="2BA9525D" w14:textId="6D7F2153" w:rsidR="00904EC0" w:rsidRPr="00890B50" w:rsidRDefault="00904EC0" w:rsidP="00904EC0">
      <w:pPr>
        <w:tabs>
          <w:tab w:val="left" w:pos="567"/>
        </w:tabs>
        <w:suppressAutoHyphens w:val="0"/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890B50">
        <w:rPr>
          <w:rFonts w:eastAsia="Calibri"/>
          <w:color w:val="000000"/>
          <w:sz w:val="32"/>
          <w:szCs w:val="32"/>
        </w:rPr>
        <w:t xml:space="preserve">Оплата труда работников государственных учреждений </w:t>
      </w:r>
      <w:r w:rsidR="00890B50">
        <w:rPr>
          <w:rFonts w:eastAsia="Calibri"/>
          <w:color w:val="000000"/>
          <w:sz w:val="32"/>
          <w:szCs w:val="32"/>
        </w:rPr>
        <w:t xml:space="preserve">                       </w:t>
      </w:r>
      <w:r w:rsidRPr="00890B50">
        <w:rPr>
          <w:rFonts w:eastAsia="Calibri"/>
          <w:color w:val="000000"/>
          <w:sz w:val="32"/>
          <w:szCs w:val="32"/>
        </w:rPr>
        <w:t xml:space="preserve">здравоохранения Тверской области регулируется постановлением Правительства Тверской области от 29.12.2017 № 500-пп «Об оплате труда в медицинских организациях, подведомственных Министерству здравоохранения Тверской области». В соответствии со ст.135 </w:t>
      </w:r>
      <w:r w:rsidR="00890B50">
        <w:rPr>
          <w:rFonts w:eastAsia="Calibri"/>
          <w:color w:val="000000"/>
          <w:sz w:val="32"/>
          <w:szCs w:val="32"/>
        </w:rPr>
        <w:t xml:space="preserve">                     </w:t>
      </w:r>
      <w:r w:rsidRPr="00890B50">
        <w:rPr>
          <w:rFonts w:eastAsia="Calibri"/>
          <w:color w:val="000000"/>
          <w:sz w:val="32"/>
          <w:szCs w:val="32"/>
        </w:rPr>
        <w:t xml:space="preserve">Трудового кодекса Российской Федерации </w:t>
      </w:r>
      <w:r w:rsidRPr="00890B50">
        <w:rPr>
          <w:sz w:val="32"/>
          <w:szCs w:val="32"/>
        </w:rPr>
        <w:t xml:space="preserve">системы оплаты </w:t>
      </w:r>
      <w:proofErr w:type="gramStart"/>
      <w:r w:rsidRPr="00890B50">
        <w:rPr>
          <w:sz w:val="32"/>
          <w:szCs w:val="32"/>
        </w:rPr>
        <w:t xml:space="preserve">труда, </w:t>
      </w:r>
      <w:r w:rsidR="00890B50">
        <w:rPr>
          <w:sz w:val="32"/>
          <w:szCs w:val="32"/>
        </w:rPr>
        <w:t xml:space="preserve">  </w:t>
      </w:r>
      <w:proofErr w:type="gramEnd"/>
      <w:r w:rsidR="00890B50">
        <w:rPr>
          <w:sz w:val="32"/>
          <w:szCs w:val="32"/>
        </w:rPr>
        <w:t xml:space="preserve">            </w:t>
      </w:r>
      <w:r w:rsidRPr="00890B50">
        <w:rPr>
          <w:sz w:val="32"/>
          <w:szCs w:val="32"/>
        </w:rPr>
        <w:t xml:space="preserve">системы доплат и надбавок стимулирующего характера и системы </w:t>
      </w:r>
      <w:r w:rsidR="00890B50">
        <w:rPr>
          <w:sz w:val="32"/>
          <w:szCs w:val="32"/>
        </w:rPr>
        <w:t xml:space="preserve"> </w:t>
      </w:r>
      <w:r w:rsidRPr="00890B50">
        <w:rPr>
          <w:sz w:val="32"/>
          <w:szCs w:val="32"/>
        </w:rPr>
        <w:t xml:space="preserve">премирования, устанавливаются коллективными договорами, </w:t>
      </w:r>
      <w:r w:rsidR="00890B50">
        <w:rPr>
          <w:sz w:val="32"/>
          <w:szCs w:val="32"/>
        </w:rPr>
        <w:t xml:space="preserve">                </w:t>
      </w:r>
      <w:r w:rsidRPr="00890B50">
        <w:rPr>
          <w:sz w:val="32"/>
          <w:szCs w:val="32"/>
        </w:rPr>
        <w:t xml:space="preserve">соглашениями, локальными нормативными актами в соответствии с трудовым законодательством и иными нормативными правовыми </w:t>
      </w:r>
      <w:r w:rsidR="00890B50">
        <w:rPr>
          <w:sz w:val="32"/>
          <w:szCs w:val="32"/>
        </w:rPr>
        <w:t xml:space="preserve">             </w:t>
      </w:r>
      <w:r w:rsidRPr="00890B50">
        <w:rPr>
          <w:sz w:val="32"/>
          <w:szCs w:val="32"/>
        </w:rPr>
        <w:t>актами, содержащими нормы трудового права.</w:t>
      </w:r>
    </w:p>
    <w:p w14:paraId="19C98E9B" w14:textId="4BB677B3" w:rsidR="00904EC0" w:rsidRPr="00890B50" w:rsidRDefault="00904EC0" w:rsidP="00904EC0">
      <w:pPr>
        <w:suppressAutoHyphens w:val="0"/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В каждой медицинской организации разработано положение об оплате и стимулировании труда с показателями и критериями оценки деятельности работников (далее – Положение), утвержденное </w:t>
      </w:r>
      <w:r w:rsidR="00890B50">
        <w:rPr>
          <w:sz w:val="32"/>
          <w:szCs w:val="32"/>
        </w:rPr>
        <w:t xml:space="preserve">               </w:t>
      </w:r>
      <w:r w:rsidRPr="00890B50">
        <w:rPr>
          <w:sz w:val="32"/>
          <w:szCs w:val="32"/>
        </w:rPr>
        <w:t xml:space="preserve">руководителем медицинской организации и согласованное с </w:t>
      </w:r>
      <w:r w:rsidR="00890B50">
        <w:rPr>
          <w:sz w:val="32"/>
          <w:szCs w:val="32"/>
        </w:rPr>
        <w:t xml:space="preserve">                      </w:t>
      </w:r>
      <w:r w:rsidRPr="00890B50">
        <w:rPr>
          <w:sz w:val="32"/>
          <w:szCs w:val="32"/>
        </w:rPr>
        <w:t xml:space="preserve">председателем профсоюзной организации или представителем </w:t>
      </w:r>
      <w:r w:rsidR="00890B50">
        <w:rPr>
          <w:sz w:val="32"/>
          <w:szCs w:val="32"/>
        </w:rPr>
        <w:t xml:space="preserve">                   </w:t>
      </w:r>
      <w:r w:rsidRPr="00890B50">
        <w:rPr>
          <w:sz w:val="32"/>
          <w:szCs w:val="32"/>
        </w:rPr>
        <w:t xml:space="preserve">трудового коллектива работников. </w:t>
      </w:r>
    </w:p>
    <w:p w14:paraId="64709B76" w14:textId="10B202F9" w:rsidR="00904EC0" w:rsidRPr="00890B50" w:rsidRDefault="00904EC0" w:rsidP="00904EC0">
      <w:pPr>
        <w:suppressAutoHyphens w:val="0"/>
        <w:autoSpaceDE w:val="0"/>
        <w:autoSpaceDN w:val="0"/>
        <w:adjustRightInd w:val="0"/>
        <w:ind w:right="-1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 xml:space="preserve">Размер фонда оплаты труда зависит от суммы </w:t>
      </w:r>
      <w:proofErr w:type="gramStart"/>
      <w:r w:rsidRPr="00890B50">
        <w:rPr>
          <w:sz w:val="32"/>
          <w:szCs w:val="32"/>
        </w:rPr>
        <w:t xml:space="preserve">средств, </w:t>
      </w:r>
      <w:r w:rsidR="00890B50">
        <w:rPr>
          <w:sz w:val="32"/>
          <w:szCs w:val="32"/>
        </w:rPr>
        <w:t xml:space="preserve">  </w:t>
      </w:r>
      <w:proofErr w:type="gramEnd"/>
      <w:r w:rsidR="00890B50">
        <w:rPr>
          <w:sz w:val="32"/>
          <w:szCs w:val="32"/>
        </w:rPr>
        <w:t xml:space="preserve">                          </w:t>
      </w:r>
      <w:r w:rsidRPr="00890B50">
        <w:rPr>
          <w:sz w:val="32"/>
          <w:szCs w:val="32"/>
        </w:rPr>
        <w:t xml:space="preserve">полученных учреждением здравоохранения за оказанные медицинские услуги в рамках реализации территориальной программы </w:t>
      </w:r>
      <w:r w:rsidR="00890B50">
        <w:rPr>
          <w:sz w:val="32"/>
          <w:szCs w:val="32"/>
        </w:rPr>
        <w:t xml:space="preserve">                     </w:t>
      </w:r>
      <w:r w:rsidRPr="00890B50">
        <w:rPr>
          <w:sz w:val="32"/>
          <w:szCs w:val="32"/>
        </w:rPr>
        <w:t xml:space="preserve">обязательного медицинского страхования и выполнение </w:t>
      </w:r>
      <w:r w:rsidR="00890B50">
        <w:rPr>
          <w:sz w:val="32"/>
          <w:szCs w:val="32"/>
        </w:rPr>
        <w:t xml:space="preserve">                                </w:t>
      </w:r>
      <w:r w:rsidRPr="00890B50">
        <w:rPr>
          <w:sz w:val="32"/>
          <w:szCs w:val="32"/>
        </w:rPr>
        <w:t xml:space="preserve">государственного задания за счет средств областного бюджета. При невыполнении плановых объемов медицинской помощи уменьшается размер фонда оплаты труда и, как следствие, фонд стимулирования. Также размер выплат стимулирующего характера зависит от </w:t>
      </w:r>
      <w:r w:rsidR="00890B50">
        <w:rPr>
          <w:sz w:val="32"/>
          <w:szCs w:val="32"/>
        </w:rPr>
        <w:t xml:space="preserve">                          </w:t>
      </w:r>
      <w:r w:rsidRPr="00890B50">
        <w:rPr>
          <w:sz w:val="32"/>
          <w:szCs w:val="32"/>
        </w:rPr>
        <w:t xml:space="preserve">выполнения показателей эффективности деятельности работников подразделения, установленных в учреждении здравоохранения на </w:t>
      </w:r>
      <w:r w:rsidR="00890B50">
        <w:rPr>
          <w:sz w:val="32"/>
          <w:szCs w:val="32"/>
        </w:rPr>
        <w:t xml:space="preserve">                     </w:t>
      </w:r>
      <w:r w:rsidRPr="00890B50">
        <w:rPr>
          <w:sz w:val="32"/>
          <w:szCs w:val="32"/>
        </w:rPr>
        <w:t xml:space="preserve">основании </w:t>
      </w:r>
      <w:r w:rsidR="00890B50">
        <w:rPr>
          <w:sz w:val="32"/>
          <w:szCs w:val="32"/>
        </w:rPr>
        <w:t>П</w:t>
      </w:r>
      <w:r w:rsidRPr="00890B50">
        <w:rPr>
          <w:sz w:val="32"/>
          <w:szCs w:val="32"/>
        </w:rPr>
        <w:t xml:space="preserve">оложения. Кроме того, размер заработной платы каждого работника зависит от объема выполняемой работы, </w:t>
      </w:r>
      <w:proofErr w:type="gramStart"/>
      <w:r w:rsidRPr="00890B50">
        <w:rPr>
          <w:sz w:val="32"/>
          <w:szCs w:val="32"/>
        </w:rPr>
        <w:t xml:space="preserve">стажа, </w:t>
      </w:r>
      <w:r w:rsidR="00890B50">
        <w:rPr>
          <w:sz w:val="32"/>
          <w:szCs w:val="32"/>
        </w:rPr>
        <w:t xml:space="preserve">  </w:t>
      </w:r>
      <w:proofErr w:type="gramEnd"/>
      <w:r w:rsidR="00890B50">
        <w:rPr>
          <w:sz w:val="32"/>
          <w:szCs w:val="32"/>
        </w:rPr>
        <w:t xml:space="preserve">                             </w:t>
      </w:r>
      <w:r w:rsidRPr="00890B50">
        <w:rPr>
          <w:sz w:val="32"/>
          <w:szCs w:val="32"/>
        </w:rPr>
        <w:t xml:space="preserve">квалификационной категории, качества и интенсивности труда. </w:t>
      </w:r>
      <w:r w:rsidR="00890B50">
        <w:rPr>
          <w:sz w:val="32"/>
          <w:szCs w:val="32"/>
        </w:rPr>
        <w:t xml:space="preserve">                  </w:t>
      </w:r>
      <w:r w:rsidRPr="00890B50">
        <w:rPr>
          <w:sz w:val="32"/>
          <w:szCs w:val="32"/>
        </w:rPr>
        <w:t xml:space="preserve">Заработная плата работника в государственных учреждениях здравоохранения может быть выше за счет дополнительной нагрузки </w:t>
      </w:r>
      <w:r w:rsidR="00890B50">
        <w:rPr>
          <w:sz w:val="32"/>
          <w:szCs w:val="32"/>
        </w:rPr>
        <w:t xml:space="preserve">                </w:t>
      </w:r>
      <w:proofErr w:type="gramStart"/>
      <w:r w:rsidR="00890B50">
        <w:rPr>
          <w:sz w:val="32"/>
          <w:szCs w:val="32"/>
        </w:rPr>
        <w:t xml:space="preserve">   </w:t>
      </w:r>
      <w:r w:rsidRPr="00890B50">
        <w:rPr>
          <w:sz w:val="32"/>
          <w:szCs w:val="32"/>
        </w:rPr>
        <w:t>(</w:t>
      </w:r>
      <w:proofErr w:type="gramEnd"/>
      <w:r w:rsidRPr="00890B50">
        <w:rPr>
          <w:sz w:val="32"/>
          <w:szCs w:val="32"/>
        </w:rPr>
        <w:t xml:space="preserve">совмещение профессий, расширения зон обслуживания, увеличение объема работ или исполнение обязанностей временно отсутствующего работника) и повышения квалификационной категории. </w:t>
      </w:r>
    </w:p>
    <w:p w14:paraId="4F08DED3" w14:textId="4C6812EE" w:rsidR="00904EC0" w:rsidRPr="00890B50" w:rsidRDefault="00904EC0" w:rsidP="00904EC0">
      <w:pPr>
        <w:tabs>
          <w:tab w:val="left" w:pos="709"/>
          <w:tab w:val="left" w:pos="851"/>
        </w:tabs>
        <w:suppressAutoHyphens w:val="0"/>
        <w:autoSpaceDE w:val="0"/>
        <w:autoSpaceDN w:val="0"/>
        <w:adjustRightInd w:val="0"/>
        <w:ind w:right="-1" w:firstLine="708"/>
        <w:jc w:val="both"/>
        <w:rPr>
          <w:sz w:val="32"/>
          <w:szCs w:val="32"/>
        </w:rPr>
      </w:pPr>
      <w:r w:rsidRPr="00890B50">
        <w:rPr>
          <w:sz w:val="32"/>
          <w:szCs w:val="32"/>
        </w:rPr>
        <w:t>По информации ГБУЗ «Бежецкая ЦРБ» среднемесячная заработная плата врачей</w:t>
      </w:r>
      <w:r w:rsidR="00890B50">
        <w:rPr>
          <w:sz w:val="32"/>
          <w:szCs w:val="32"/>
        </w:rPr>
        <w:t>-</w:t>
      </w:r>
      <w:r w:rsidRPr="00890B50">
        <w:rPr>
          <w:sz w:val="32"/>
          <w:szCs w:val="32"/>
        </w:rPr>
        <w:t xml:space="preserve">педиатров участковых поликлиники составила </w:t>
      </w:r>
      <w:r w:rsidR="00890B50">
        <w:rPr>
          <w:sz w:val="32"/>
          <w:szCs w:val="32"/>
        </w:rPr>
        <w:t xml:space="preserve">                         </w:t>
      </w:r>
      <w:r w:rsidRPr="00890B50">
        <w:rPr>
          <w:sz w:val="32"/>
          <w:szCs w:val="32"/>
        </w:rPr>
        <w:t xml:space="preserve">за 10 месяцев 2021 года 56 322 рублей, что превышает указанную </w:t>
      </w:r>
      <w:r w:rsidR="00890B50">
        <w:rPr>
          <w:sz w:val="32"/>
          <w:szCs w:val="32"/>
        </w:rPr>
        <w:t xml:space="preserve">                      </w:t>
      </w:r>
      <w:r w:rsidR="008030BA" w:rsidRPr="00890B50">
        <w:rPr>
          <w:sz w:val="32"/>
          <w:szCs w:val="32"/>
        </w:rPr>
        <w:t>в обращении с</w:t>
      </w:r>
      <w:r w:rsidRPr="00890B50">
        <w:rPr>
          <w:sz w:val="32"/>
          <w:szCs w:val="32"/>
        </w:rPr>
        <w:t>умму.</w:t>
      </w:r>
    </w:p>
    <w:p w14:paraId="22592024" w14:textId="77777777" w:rsidR="00904EC0" w:rsidRPr="00890B50" w:rsidRDefault="00904EC0" w:rsidP="008030BA">
      <w:pPr>
        <w:jc w:val="both"/>
        <w:rPr>
          <w:sz w:val="32"/>
          <w:szCs w:val="32"/>
        </w:rPr>
      </w:pPr>
    </w:p>
    <w:sectPr w:rsidR="00904EC0" w:rsidRPr="00890B50" w:rsidSect="008030BA">
      <w:footerReference w:type="default" r:id="rId7"/>
      <w:pgSz w:w="11906" w:h="16838"/>
      <w:pgMar w:top="1134" w:right="566" w:bottom="1134" w:left="1701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BB51" w14:textId="77777777" w:rsidR="006C7ECF" w:rsidRDefault="006C7ECF">
      <w:r>
        <w:separator/>
      </w:r>
    </w:p>
  </w:endnote>
  <w:endnote w:type="continuationSeparator" w:id="0">
    <w:p w14:paraId="656606CC" w14:textId="77777777" w:rsidR="006C7ECF" w:rsidRDefault="006C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445A" w14:textId="7A5E667D" w:rsidR="00A952E4" w:rsidRDefault="00A952E4">
    <w:pPr>
      <w:pStyle w:val="af1"/>
      <w:jc w:val="center"/>
    </w:pPr>
  </w:p>
  <w:p w14:paraId="51700464" w14:textId="77777777" w:rsidR="00A952E4" w:rsidRDefault="00A952E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67AE" w14:textId="77777777" w:rsidR="006C7ECF" w:rsidRDefault="006C7ECF">
      <w:r>
        <w:separator/>
      </w:r>
    </w:p>
  </w:footnote>
  <w:footnote w:type="continuationSeparator" w:id="0">
    <w:p w14:paraId="428EC5E5" w14:textId="77777777" w:rsidR="006C7ECF" w:rsidRDefault="006C7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2E4"/>
    <w:rsid w:val="00102287"/>
    <w:rsid w:val="00131B51"/>
    <w:rsid w:val="0023193E"/>
    <w:rsid w:val="004D3550"/>
    <w:rsid w:val="004E32C0"/>
    <w:rsid w:val="0059631C"/>
    <w:rsid w:val="006C7ECF"/>
    <w:rsid w:val="006E4F18"/>
    <w:rsid w:val="008030BA"/>
    <w:rsid w:val="0084742F"/>
    <w:rsid w:val="00890B50"/>
    <w:rsid w:val="00904EC0"/>
    <w:rsid w:val="00924EEB"/>
    <w:rsid w:val="009D6D81"/>
    <w:rsid w:val="009E1FB3"/>
    <w:rsid w:val="00A952E4"/>
    <w:rsid w:val="00C323B7"/>
    <w:rsid w:val="00DA2687"/>
    <w:rsid w:val="00E37391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C77C"/>
  <w15:docId w15:val="{C63AC120-6D81-4B28-9DED-C549241F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C24873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3">
    <w:name w:val="Название Знак"/>
    <w:uiPriority w:val="10"/>
    <w:qFormat/>
    <w:rsid w:val="00C24873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styleId="a4">
    <w:name w:val="Emphasis"/>
    <w:uiPriority w:val="20"/>
    <w:qFormat/>
    <w:rsid w:val="00C24873"/>
    <w:rPr>
      <w:i/>
      <w:iCs/>
    </w:rPr>
  </w:style>
  <w:style w:type="character" w:customStyle="1" w:styleId="a5">
    <w:name w:val="Верхний колонтитул Знак"/>
    <w:uiPriority w:val="99"/>
    <w:qFormat/>
    <w:rsid w:val="005C22EB"/>
    <w:rPr>
      <w:rFonts w:ascii="Times New Roman" w:eastAsia="Times New Roman" w:hAnsi="Times New Roman"/>
    </w:rPr>
  </w:style>
  <w:style w:type="character" w:customStyle="1" w:styleId="a6">
    <w:name w:val="Нижний колонтитул Знак"/>
    <w:uiPriority w:val="99"/>
    <w:qFormat/>
    <w:rsid w:val="005C22EB"/>
    <w:rPr>
      <w:rFonts w:ascii="Times New Roman" w:eastAsia="Times New Roman" w:hAnsi="Times New Roman"/>
    </w:rPr>
  </w:style>
  <w:style w:type="character" w:customStyle="1" w:styleId="-">
    <w:name w:val="Интернет-ссылка"/>
    <w:basedOn w:val="a0"/>
    <w:uiPriority w:val="99"/>
    <w:unhideWhenUsed/>
    <w:rsid w:val="00CB2BC0"/>
    <w:rPr>
      <w:color w:val="0000FF" w:themeColor="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FA1693"/>
    <w:rPr>
      <w:rFonts w:ascii="Tahoma" w:eastAsia="Times New Roman" w:hAnsi="Tahoma" w:cs="Tahoma"/>
      <w:sz w:val="16"/>
      <w:szCs w:val="16"/>
    </w:rPr>
  </w:style>
  <w:style w:type="character" w:customStyle="1" w:styleId="info-commentlabel">
    <w:name w:val="info-comment__label"/>
    <w:basedOn w:val="a0"/>
    <w:qFormat/>
    <w:rsid w:val="00AC26BF"/>
  </w:style>
  <w:style w:type="character" w:customStyle="1" w:styleId="document-applicantname">
    <w:name w:val="document-applicant_name"/>
    <w:basedOn w:val="a0"/>
    <w:qFormat/>
    <w:rsid w:val="00547060"/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Title"/>
    <w:basedOn w:val="a"/>
    <w:next w:val="a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ad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e">
    <w:name w:val="List Paragraph"/>
    <w:basedOn w:val="a"/>
    <w:uiPriority w:val="34"/>
    <w:qFormat/>
    <w:rsid w:val="00485C24"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5C22EB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5C22EB"/>
    <w:pPr>
      <w:tabs>
        <w:tab w:val="center" w:pos="4677"/>
        <w:tab w:val="right" w:pos="9355"/>
      </w:tabs>
    </w:pPr>
  </w:style>
  <w:style w:type="paragraph" w:customStyle="1" w:styleId="af2">
    <w:name w:val="Адрес угловой"/>
    <w:basedOn w:val="a"/>
    <w:qFormat/>
    <w:rsid w:val="00103E4C"/>
    <w:pPr>
      <w:jc w:val="center"/>
    </w:pPr>
    <w:rPr>
      <w:sz w:val="24"/>
    </w:rPr>
  </w:style>
  <w:style w:type="paragraph" w:customStyle="1" w:styleId="p8">
    <w:name w:val="p8"/>
    <w:basedOn w:val="a"/>
    <w:qFormat/>
    <w:rsid w:val="00E06E06"/>
    <w:pPr>
      <w:spacing w:beforeAutospacing="1" w:afterAutospacing="1"/>
    </w:pPr>
    <w:rPr>
      <w:sz w:val="24"/>
      <w:szCs w:val="24"/>
    </w:rPr>
  </w:style>
  <w:style w:type="paragraph" w:styleId="af3">
    <w:name w:val="Normal (Web)"/>
    <w:basedOn w:val="a"/>
    <w:uiPriority w:val="99"/>
    <w:unhideWhenUsed/>
    <w:qFormat/>
    <w:rsid w:val="00E06E06"/>
    <w:pPr>
      <w:spacing w:beforeAutospacing="1" w:afterAutospacing="1"/>
    </w:pPr>
    <w:rPr>
      <w:sz w:val="24"/>
      <w:szCs w:val="24"/>
    </w:rPr>
  </w:style>
  <w:style w:type="paragraph" w:styleId="af4">
    <w:name w:val="Balloon Text"/>
    <w:basedOn w:val="a"/>
    <w:uiPriority w:val="99"/>
    <w:semiHidden/>
    <w:unhideWhenUsed/>
    <w:qFormat/>
    <w:rsid w:val="00FA1693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ED6512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BB1B8-A2EE-4FE7-9F41-7A4CA4EA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Добринова</dc:creator>
  <cp:lastModifiedBy>Иванова Марина Станиславовна</cp:lastModifiedBy>
  <cp:revision>2</cp:revision>
  <cp:lastPrinted>2021-11-15T14:07:00Z</cp:lastPrinted>
  <dcterms:created xsi:type="dcterms:W3CDTF">2021-11-15T14:34:00Z</dcterms:created>
  <dcterms:modified xsi:type="dcterms:W3CDTF">2021-11-15T14:34:00Z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