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 xml:space="preserve">Ежедневный отчет за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20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.0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8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.2021</w:t>
      </w:r>
    </w:p>
    <w:p>
      <w:pPr>
        <w:pStyle w:val="Body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tbl>
      <w:tblPr>
        <w:tblW w:w="199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0"/>
        <w:gridCol w:w="5352"/>
        <w:gridCol w:w="4505"/>
        <w:gridCol w:w="4050"/>
        <w:gridCol w:w="2517"/>
        <w:gridCol w:w="2421"/>
      </w:tblGrid>
      <w:tr>
        <w:tblPrEx>
          <w:shd w:val="clear" w:color="auto" w:fill="ced7e7"/>
        </w:tblPrEx>
        <w:trPr>
          <w:trHeight w:val="1017" w:hRule="atLeast"/>
        </w:trPr>
        <w:tc>
          <w:tcPr>
            <w:tcW w:type="dxa" w:w="11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Суть риска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том числе реакция пользователей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ссылка на первоисточник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5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Разработанные тезисы</w:t>
            </w:r>
          </w:p>
        </w:tc>
        <w:tc>
          <w:tcPr>
            <w:tcW w:type="dxa" w:w="40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 xml:space="preserve">Что сделано или планируется сделать 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 т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ч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ссылки на размещенные материалы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)</w:t>
            </w:r>
          </w:p>
        </w:tc>
        <w:tc>
          <w:tcPr>
            <w:tcW w:type="dxa" w:w="493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Медиаметрические показатели</w:t>
            </w:r>
          </w:p>
        </w:tc>
      </w:tr>
      <w:tr>
        <w:tblPrEx>
          <w:shd w:val="clear" w:color="auto" w:fill="ced7e7"/>
        </w:tblPrEx>
        <w:trPr>
          <w:trHeight w:val="2074" w:hRule="atLeast"/>
        </w:trPr>
        <w:tc>
          <w:tcPr>
            <w:tcW w:type="dxa" w:w="11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5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0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СМИ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  <w:rPr>
                <w:rFonts w:ascii="Times New Roman" w:cs="Times New Roman" w:hAnsi="Times New Roman" w:eastAsia="Times New Roman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Охват публикаций в соцсетях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кол</w:t>
            </w:r>
            <w:r>
              <w:rPr>
                <w:rFonts w:ascii="Times New Roman" w:hAnsi="Times New Roman"/>
                <w:sz w:val="32"/>
                <w:szCs w:val="32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32"/>
                <w:szCs w:val="32"/>
                <w:rtl w:val="0"/>
                <w:lang w:val="ru-RU"/>
              </w:rPr>
              <w:t>во публикаций</w:t>
            </w:r>
          </w:p>
        </w:tc>
      </w:tr>
      <w:tr>
        <w:tblPrEx>
          <w:shd w:val="clear" w:color="auto" w:fill="ced7e7"/>
        </w:tblPrEx>
        <w:trPr>
          <w:trHeight w:val="1433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shd w:val="clear" w:color="auto" w:fill="ffffff"/>
                <w:rtl w:val="0"/>
                <w:lang w:val="ru-RU"/>
              </w:rPr>
              <w:t>Текущие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44" w:hRule="atLeast"/>
        </w:trPr>
        <w:tc>
          <w:tcPr>
            <w:tcW w:type="dxa" w:w="1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</w:tabs>
              <w:spacing w:line="288" w:lineRule="auto"/>
              <w:jc w:val="center"/>
            </w:pPr>
            <w:r>
              <w:rPr>
                <w:rFonts w:ascii="Times New Roman" w:hAnsi="Times New Roman" w:hint="default"/>
                <w:sz w:val="32"/>
                <w:szCs w:val="32"/>
                <w:rtl w:val="0"/>
              </w:rPr>
              <w:t>Потенциальные угрозы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uppressAutoHyphens w:val="1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результате анализа информационного поля в регионе выявлено несколько основных проблемных направлений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социальное обеспечение и защита населения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дороги и общественный транспорт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данным вопросам за прошедшие сутки зафиксировано основное количество обращений в системе Инцидент Менеджмент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социальное обеспечение и защита населения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- 53,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- 4,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- 57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инцидента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здравоохранение</w:t>
      </w:r>
      <w:r>
        <w:rPr>
          <w:rFonts w:ascii="Times New Roman" w:hAnsi="Times New Roman"/>
          <w:sz w:val="32"/>
          <w:szCs w:val="32"/>
          <w:rtl w:val="0"/>
          <w:lang w:val="ru-RU"/>
        </w:rPr>
        <w:t>/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медицина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(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- 4,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- 36,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- 40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инцидента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дороги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Тверь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- 10,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остальные муниципалитеты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- 22,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всего 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- 32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инцидентов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 ТОП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-3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проблемным направлениям зафиксированы сообщения по следующим категориям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Социальное обеспечение и защита населения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адержка выплат гражданам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ети и многодетные семьи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казание гос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соц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помощи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енсионеры и ветераны</w:t>
      </w:r>
      <w:r>
        <w:rPr>
          <w:rFonts w:ascii="Times New Roman" w:hAnsi="Times New Roman"/>
          <w:sz w:val="32"/>
          <w:szCs w:val="32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Здравоохранение</w:t>
      </w:r>
      <w:r>
        <w:rPr>
          <w:rFonts w:ascii="Times New Roman" w:hAnsi="Times New Roman"/>
          <w:sz w:val="32"/>
          <w:szCs w:val="32"/>
          <w:rtl w:val="0"/>
          <w:lang w:val="ru-RU"/>
        </w:rPr>
        <w:t>/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медицина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одержание больниц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ехнические проблемы с записью на прием к врачу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оррупция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корая помощь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испансеризация</w:t>
      </w:r>
      <w:r>
        <w:rPr>
          <w:rFonts w:ascii="Times New Roman" w:hAnsi="Times New Roman"/>
          <w:sz w:val="32"/>
          <w:szCs w:val="32"/>
          <w:rtl w:val="0"/>
          <w:lang w:val="ru-RU"/>
        </w:rPr>
        <w:t>;</w:t>
      </w:r>
    </w:p>
    <w:p>
      <w:pPr>
        <w:pStyle w:val="Основной текст"/>
        <w:numPr>
          <w:ilvl w:val="0"/>
          <w:numId w:val="2"/>
        </w:numPr>
        <w:spacing w:line="360" w:lineRule="auto"/>
        <w:jc w:val="both"/>
        <w:rPr>
          <w:rFonts w:ascii="Times New Roman" w:hAnsi="Times New Roman" w:hint="default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Дороги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емонт дороги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я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мы и выбоины на дороге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емонт</w:t>
      </w:r>
      <w:r>
        <w:rPr>
          <w:rFonts w:ascii="Times New Roman" w:hAnsi="Times New Roman"/>
          <w:sz w:val="32"/>
          <w:szCs w:val="32"/>
          <w:rtl w:val="0"/>
          <w:lang w:val="ru-RU"/>
        </w:rPr>
        <w:t>/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строительство мостов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л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ивневые канализации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рганизация переходов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светофоров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троительство или реконструкция дорог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одержание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ремонт и обустройство тротуаров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рганизация парковок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екачественно выполненный ремонт дорог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о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свещение неисправно или отсутствует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Самым заметным инцидентом за текущий период по данным категориям является жалоба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на отсутствие уличного освещения на ул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Центральная в Ржеве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Сообщают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что второй месяц не могут устранить неполадки освещения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Данный инцидент имеет следующие показатели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Количество публикаций </w:t>
      </w:r>
      <w:r>
        <w:rPr>
          <w:rFonts w:ascii="Times New Roman" w:hAnsi="Times New Roman"/>
          <w:sz w:val="32"/>
          <w:szCs w:val="32"/>
          <w:rtl w:val="0"/>
          <w:lang w:val="ru-RU"/>
        </w:rPr>
        <w:t>- 1;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SI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индекс </w:t>
      </w:r>
      <w:r>
        <w:rPr>
          <w:rFonts w:ascii="Times New Roman" w:hAnsi="Times New Roman"/>
          <w:sz w:val="32"/>
          <w:szCs w:val="32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сумма репостов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лайков и комментариев</w:t>
      </w:r>
      <w:r>
        <w:rPr>
          <w:rFonts w:ascii="Times New Roman" w:hAnsi="Times New Roman"/>
          <w:sz w:val="32"/>
          <w:szCs w:val="32"/>
          <w:rtl w:val="0"/>
          <w:lang w:val="ru-RU"/>
        </w:rPr>
        <w:t>) - 31;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Охват аудитории </w:t>
      </w:r>
      <w:r>
        <w:rPr>
          <w:rFonts w:ascii="Times New Roman" w:hAnsi="Times New Roman"/>
          <w:sz w:val="32"/>
          <w:szCs w:val="32"/>
          <w:rtl w:val="0"/>
          <w:lang w:val="ru-RU"/>
        </w:rPr>
        <w:t>- 3,1</w:t>
      </w:r>
      <w:r>
        <w:rPr>
          <w:rFonts w:ascii="Times New Roman" w:hAnsi="Times New Roman"/>
          <w:sz w:val="32"/>
          <w:szCs w:val="32"/>
          <w:rtl w:val="0"/>
          <w:lang w:val="en-US"/>
        </w:rPr>
        <w:t>k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  <w:lang w:val="ru-RU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Информация по данному факту передана в администрацию города Ржева через систему инцидент менеджмент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В Тверской области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продолжается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обязательная вакцинация против коронавирусной инфекции для отдельных категорий граждан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Тема вакцинации в Тверской области на текущий момент воспринимается спокойно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На данный момент прививку сделали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instrText xml:space="preserve"> HYPERLINK "https://%D1%82%D0%B2%D0%B5%D1%80%D1%81%D0%BA%D0%B0%D1%8F%D0%BE%D0%B1%D0%BB%D0%B0%D1%81%D1%82%D1%8C.%D1%80%D1%84/novosti/?ELEMENT_ID=165332"</w:instrText>
      </w:r>
      <w:r>
        <w:rPr>
          <w:rStyle w:val="Hyperlink.0"/>
          <w:rFonts w:ascii="Times New Roman" w:cs="Times New Roman" w:hAnsi="Times New Roman" w:eastAsia="Times New Roman"/>
          <w:sz w:val="32"/>
          <w:szCs w:val="32"/>
        </w:rPr>
        <w:fldChar w:fldCharType="separate" w:fldLock="0"/>
      </w:r>
      <w:r>
        <w:rPr>
          <w:rStyle w:val="Hyperlink.0"/>
          <w:rFonts w:ascii="Times New Roman" w:hAnsi="Times New Roman"/>
          <w:sz w:val="32"/>
          <w:szCs w:val="32"/>
          <w:rtl w:val="0"/>
          <w:lang w:val="ru-RU"/>
        </w:rPr>
        <w:t xml:space="preserve">354627 </w:t>
      </w:r>
      <w:r>
        <w:rPr>
          <w:rStyle w:val="Hyperlink.0"/>
          <w:rFonts w:ascii="Times New Roman" w:hAnsi="Times New Roman" w:hint="default"/>
          <w:sz w:val="32"/>
          <w:szCs w:val="32"/>
          <w:rtl w:val="0"/>
          <w:lang w:val="ru-RU"/>
        </w:rPr>
        <w:t>человек</w:t>
      </w:r>
      <w:r>
        <w:rPr>
          <w:rFonts w:ascii="Times New Roman" w:cs="Times New Roman" w:hAnsi="Times New Roman" w:eastAsia="Times New Roman"/>
          <w:sz w:val="32"/>
          <w:szCs w:val="32"/>
        </w:rPr>
        <w:fldChar w:fldCharType="end" w:fldLock="0"/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firstLine="720"/>
        <w:jc w:val="left"/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Анализ аккаунтов Губернатора Тверской области в соцсетях не ведется из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за отсутствия предмета исследования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sectPr>
      <w:headerReference w:type="default" r:id="rId4"/>
      <w:footerReference w:type="default" r:id="rId5"/>
      <w:pgSz w:w="23820" w:h="16840" w:orient="landscape"/>
      <w:pgMar w:top="720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60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88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num" w:pos="196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24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num" w:pos="232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60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num" w:pos="2684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196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num" w:pos="304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232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0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268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76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04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12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</w:tabs>
        <w:ind w:left="3404" w:firstLine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