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9634" w14:textId="7650A93F" w:rsidR="00FA56E6" w:rsidRPr="00FA56E6" w:rsidRDefault="00FA56E6" w:rsidP="00FA56E6">
      <w:pPr>
        <w:shd w:val="clear" w:color="auto" w:fill="FFFFFF"/>
        <w:spacing w:after="33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</w:pPr>
      <w:r w:rsidRPr="00FA56E6"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>Аналитическая записка по ценам на электрическую энергию для юридических лиц в 2021 году в Тверской области.</w:t>
      </w:r>
    </w:p>
    <w:p w14:paraId="6AAA413F" w14:textId="645C4502" w:rsidR="00FA56E6" w:rsidRDefault="00FA56E6" w:rsidP="006D0D11">
      <w:p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Конечная цена электроэнергии для предприятия состоит из 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четырех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составляющих:</w:t>
      </w:r>
    </w:p>
    <w:p w14:paraId="42D052B1" w14:textId="65378391" w:rsidR="00FA56E6" w:rsidRDefault="00FA56E6" w:rsidP="006D0D11">
      <w:pPr>
        <w:pStyle w:val="a3"/>
        <w:numPr>
          <w:ilvl w:val="0"/>
          <w:numId w:val="3"/>
        </w:num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покупная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электроэнерги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я (мощность), 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купленн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ая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на оптовом рынке (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в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итоговой цене для потребителя эта составляющая занимает примерно 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от 40 до 50%)</w:t>
      </w:r>
      <w:r w:rsidR="00F1003D" w:rsidRPr="00F1003D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;</w:t>
      </w:r>
    </w:p>
    <w:p w14:paraId="262D65CA" w14:textId="41C9C099" w:rsidR="00FA56E6" w:rsidRDefault="00FA56E6" w:rsidP="006D0D11">
      <w:pPr>
        <w:pStyle w:val="a3"/>
        <w:numPr>
          <w:ilvl w:val="0"/>
          <w:numId w:val="3"/>
        </w:num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т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арифы на передачу </w:t>
      </w:r>
      <w:r w:rsid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электрической энергии </w:t>
      </w:r>
      <w:r w:rsidR="006D0D11" w:rsidRP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устанавлива</w:t>
      </w:r>
      <w:r w:rsid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ю</w:t>
      </w:r>
      <w:r w:rsidR="006D0D11" w:rsidRP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тся органом регулирования (РЭК</w:t>
      </w:r>
      <w:r w:rsid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)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, и одинаковы для всех потребителей в регионе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(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в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итоговой цене для потребителя эта составляющая занимает примерно 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от 4</w:t>
      </w:r>
      <w:r w:rsidR="006923DD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5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до 50%)</w:t>
      </w:r>
      <w:r w:rsidR="00F1003D" w:rsidRPr="00F1003D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;</w:t>
      </w:r>
    </w:p>
    <w:p w14:paraId="5349D046" w14:textId="2CF2640E" w:rsidR="00F1003D" w:rsidRDefault="00FA56E6" w:rsidP="006D0D11">
      <w:pPr>
        <w:pStyle w:val="a3"/>
        <w:numPr>
          <w:ilvl w:val="0"/>
          <w:numId w:val="3"/>
        </w:num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сбытовая надбавка Гаран</w:t>
      </w:r>
      <w:r w:rsid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ирующего поставщика 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устанавлива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е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ся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орга</w:t>
      </w:r>
      <w:r w:rsid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ном 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регулирования (РЭК)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(в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итоговой цене на электроэнергию эта составляющая занимает от </w:t>
      </w:r>
      <w:r w:rsidR="00BC79E0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5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% до </w:t>
      </w:r>
      <w:r w:rsidR="00BC79E0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15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%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)</w:t>
      </w:r>
      <w:r w:rsidRPr="00FA56E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. </w:t>
      </w:r>
    </w:p>
    <w:p w14:paraId="7EDD3E44" w14:textId="77777777" w:rsidR="00F1003D" w:rsidRDefault="00F1003D" w:rsidP="00F1003D">
      <w:pPr>
        <w:pStyle w:val="a3"/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</w:p>
    <w:p w14:paraId="675A9C9B" w14:textId="191DA9AF" w:rsidR="00110F04" w:rsidRPr="00110F04" w:rsidRDefault="00110F04" w:rsidP="00F1003D">
      <w:pPr>
        <w:shd w:val="clear" w:color="auto" w:fill="FFFFFF"/>
        <w:spacing w:after="330" w:line="240" w:lineRule="auto"/>
        <w:ind w:left="360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Сбытовые надбавки для </w:t>
      </w:r>
      <w:r w:rsidR="00C712F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предприятий </w:t>
      </w: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дифференцируются в зависимости от величины максимальной мощности принадлежащих им энергопринимающих устройств:</w:t>
      </w:r>
      <w:r w:rsidR="00F1003D" w:rsidRPr="00F1003D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</w:t>
      </w: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менее 670 кВт;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</w:t>
      </w: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670 кВт – 10 МВт; более 10 МВт.</w:t>
      </w:r>
    </w:p>
    <w:p w14:paraId="3B41BACE" w14:textId="77777777" w:rsidR="00725FCA" w:rsidRDefault="00110F04" w:rsidP="00725FCA">
      <w:pPr>
        <w:shd w:val="clear" w:color="auto" w:fill="FFFFFF"/>
        <w:spacing w:after="330" w:line="240" w:lineRule="auto"/>
        <w:ind w:left="360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Чем «мельче» потребитель, тем выше сбытов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ая</w:t>
      </w: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надбавк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а</w:t>
      </w:r>
      <w:r w:rsidRPr="00110F04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гарантирующего поставщика.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</w:t>
      </w:r>
    </w:p>
    <w:p w14:paraId="6D69BC20" w14:textId="6CB01C7C" w:rsidR="00110F04" w:rsidRPr="00725FCA" w:rsidRDefault="00110F04" w:rsidP="00725FCA">
      <w:pPr>
        <w:pStyle w:val="a3"/>
        <w:numPr>
          <w:ilvl w:val="0"/>
          <w:numId w:val="3"/>
        </w:num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 w:rsidRPr="00725FCA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Иные платежи (инфраструктурные услуги), </w:t>
      </w:r>
      <w:r w:rsidR="00C712F6" w:rsidRPr="00725FCA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оказание которых является неотъемлемой частью процесса поставки электрической энергии потребителям, которые включают в себя оплату услуг коммерческого оператора рынка ОАО «АТС», организации коммерческой инфраструктуры оптового рынка энергии и мощности ЗАО «Центр финансовых расчетов», системного оператора ОАО «Системный оператор ЕЭС» по оперативно-диспетчерскому управлению</w:t>
      </w:r>
      <w:r w:rsidRPr="00725FCA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, размер платы регулируется ФАС России и НП «Совет Рынка» (в итоговой цене на электроэнергию эта составляющая занимает менее 1%).</w:t>
      </w:r>
    </w:p>
    <w:p w14:paraId="6B1237F9" w14:textId="6E0E8419" w:rsidR="001B03B8" w:rsidRDefault="001B03B8" w:rsidP="006D0D11">
      <w:pPr>
        <w:shd w:val="clear" w:color="auto" w:fill="FFFFFF"/>
        <w:spacing w:after="33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</w:pPr>
      <w:r w:rsidRPr="001B03B8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В 2021 году </w:t>
      </w:r>
      <w:r w:rsidR="00C712F6" w:rsidRPr="00C712F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п</w:t>
      </w:r>
      <w:r w:rsidRPr="001B03B8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о прогнозу «Совета рынка», электроэнергия в европейской части РФ и на Урале подорожает на 6%</w:t>
      </w:r>
      <w:r w:rsidR="00C712F6" w:rsidRPr="00C712F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</w:t>
      </w:r>
      <w:r w:rsidR="00C712F6" w:rsidRPr="001B03B8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на фоне вводов ВИЭ, АЭС и блока Берёзовской ГРЭС</w:t>
      </w:r>
      <w:r w:rsidR="00C712F6" w:rsidRPr="00C712F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. </w:t>
      </w:r>
      <w:r w:rsidRPr="001B03B8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Основным драйвером роста конечных цен, будут нерыночные надбавки к цене мощности за строительство новых электростанций. </w:t>
      </w:r>
      <w:r w:rsidR="00C712F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Таким образом, в Тверской области </w:t>
      </w:r>
      <w:r w:rsidR="00C712F6" w:rsidRPr="006D0D11"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 xml:space="preserve">рост покупной электроэнергии (мощности) </w:t>
      </w:r>
      <w:r w:rsidR="006D0D11" w:rsidRPr="006D0D11"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>составит порядка 6%.</w:t>
      </w:r>
    </w:p>
    <w:p w14:paraId="3DEE98FC" w14:textId="5F5B692A" w:rsidR="006D0D11" w:rsidRDefault="006D0D11" w:rsidP="006D0D11">
      <w:pPr>
        <w:shd w:val="clear" w:color="auto" w:fill="FFFFFF"/>
        <w:spacing w:after="330" w:line="240" w:lineRule="auto"/>
        <w:ind w:left="360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 w:rsidRP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В 2021 году</w:t>
      </w:r>
      <w:r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 xml:space="preserve"> единые (котловые) </w:t>
      </w:r>
      <w:r w:rsidRPr="006D0D11"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>тарифы на передачу электрической энергии</w:t>
      </w:r>
      <w:r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 xml:space="preserve"> </w:t>
      </w:r>
      <w:r w:rsidR="006163EF" w:rsidRPr="006163EF"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>для предприятий и организаций</w:t>
      </w:r>
      <w:r w:rsidR="006163EF">
        <w:rPr>
          <w:rFonts w:ascii="Arial" w:eastAsia="Times New Roman" w:hAnsi="Arial" w:cs="Arial"/>
          <w:b/>
          <w:bCs/>
          <w:color w:val="362E48"/>
          <w:sz w:val="24"/>
          <w:szCs w:val="24"/>
          <w:lang w:eastAsia="ru-RU"/>
        </w:rPr>
        <w:t xml:space="preserve"> </w:t>
      </w:r>
      <w:r w:rsidRPr="006D0D11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в </w:t>
      </w: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Тверской области не меняются и сохраняются на уровне 2020 года.</w:t>
      </w:r>
    </w:p>
    <w:p w14:paraId="3735E482" w14:textId="0A249842" w:rsidR="00611C55" w:rsidRDefault="006163EF" w:rsidP="006D0D11">
      <w:pPr>
        <w:shd w:val="clear" w:color="auto" w:fill="FFFFFF"/>
        <w:spacing w:after="330" w:line="240" w:lineRule="auto"/>
        <w:ind w:left="360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Сбытовые надбавки Гарантирующего поставщика в 2021 году (с 01 июля) резко возрастают</w:t>
      </w:r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. Так, для промышленных предприятий, которые составляют основную массу в Тверской области, рост сбытовой надбавки составит 29 коп/</w:t>
      </w:r>
      <w:proofErr w:type="spellStart"/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кВтч</w:t>
      </w:r>
      <w:proofErr w:type="spellEnd"/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, для </w:t>
      </w:r>
      <w:proofErr w:type="spellStart"/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мелкомоторных</w:t>
      </w:r>
      <w:proofErr w:type="spellEnd"/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потребителей (включая бюджетных) 47 коп/</w:t>
      </w:r>
      <w:proofErr w:type="spellStart"/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кВтч</w:t>
      </w:r>
      <w:proofErr w:type="spellEnd"/>
      <w:r w:rsidR="00611C55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.</w:t>
      </w:r>
    </w:p>
    <w:p w14:paraId="585AA966" w14:textId="77777777" w:rsidR="00087640" w:rsidRDefault="00087640" w:rsidP="00611C55">
      <w:pPr>
        <w:shd w:val="clear" w:color="auto" w:fill="FFFFFF"/>
        <w:spacing w:after="330" w:line="240" w:lineRule="auto"/>
        <w:ind w:left="360"/>
        <w:jc w:val="right"/>
        <w:textAlignment w:val="baseline"/>
        <w:rPr>
          <w:rFonts w:ascii="Arial" w:eastAsia="Times New Roman" w:hAnsi="Arial" w:cs="Arial"/>
          <w:color w:val="362E48"/>
          <w:sz w:val="20"/>
          <w:szCs w:val="20"/>
          <w:lang w:eastAsia="ru-RU"/>
        </w:rPr>
      </w:pPr>
    </w:p>
    <w:p w14:paraId="70D16EA9" w14:textId="17BAA57C" w:rsidR="00087640" w:rsidRDefault="00087640" w:rsidP="00611C55">
      <w:pPr>
        <w:shd w:val="clear" w:color="auto" w:fill="FFFFFF"/>
        <w:spacing w:after="330" w:line="240" w:lineRule="auto"/>
        <w:ind w:left="360"/>
        <w:jc w:val="right"/>
        <w:textAlignment w:val="baseline"/>
        <w:rPr>
          <w:rFonts w:ascii="Arial" w:eastAsia="Times New Roman" w:hAnsi="Arial" w:cs="Arial"/>
          <w:color w:val="362E48"/>
          <w:sz w:val="20"/>
          <w:szCs w:val="20"/>
          <w:lang w:eastAsia="ru-RU"/>
        </w:rPr>
      </w:pPr>
    </w:p>
    <w:p w14:paraId="6E6B4668" w14:textId="77777777" w:rsidR="00725FCA" w:rsidRDefault="00725FCA" w:rsidP="00611C55">
      <w:pPr>
        <w:shd w:val="clear" w:color="auto" w:fill="FFFFFF"/>
        <w:spacing w:after="330" w:line="240" w:lineRule="auto"/>
        <w:ind w:left="360"/>
        <w:jc w:val="right"/>
        <w:textAlignment w:val="baseline"/>
        <w:rPr>
          <w:rFonts w:ascii="Arial" w:eastAsia="Times New Roman" w:hAnsi="Arial" w:cs="Arial"/>
          <w:color w:val="362E48"/>
          <w:sz w:val="20"/>
          <w:szCs w:val="20"/>
          <w:lang w:eastAsia="ru-RU"/>
        </w:rPr>
      </w:pPr>
    </w:p>
    <w:p w14:paraId="7F97B3C9" w14:textId="61662A7B" w:rsidR="00611C55" w:rsidRPr="00611C55" w:rsidRDefault="00087640" w:rsidP="00087640">
      <w:pPr>
        <w:shd w:val="clear" w:color="auto" w:fill="FFFFFF"/>
        <w:spacing w:after="330" w:line="240" w:lineRule="auto"/>
        <w:ind w:left="360"/>
        <w:jc w:val="center"/>
        <w:textAlignment w:val="baseline"/>
        <w:rPr>
          <w:rFonts w:ascii="Arial" w:eastAsia="Times New Roman" w:hAnsi="Arial" w:cs="Arial"/>
          <w:color w:val="362E48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62E48"/>
          <w:sz w:val="20"/>
          <w:szCs w:val="20"/>
          <w:lang w:eastAsia="ru-RU"/>
        </w:rPr>
        <w:lastRenderedPageBreak/>
        <w:t xml:space="preserve">                                                                                                                        </w:t>
      </w:r>
      <w:r w:rsidR="00611C55" w:rsidRPr="00611C55">
        <w:rPr>
          <w:rFonts w:ascii="Arial" w:eastAsia="Times New Roman" w:hAnsi="Arial" w:cs="Arial"/>
          <w:color w:val="362E48"/>
          <w:sz w:val="20"/>
          <w:szCs w:val="20"/>
          <w:lang w:eastAsia="ru-RU"/>
        </w:rPr>
        <w:t>Руб./</w:t>
      </w:r>
      <w:proofErr w:type="spellStart"/>
      <w:r w:rsidR="00611C55" w:rsidRPr="00611C55">
        <w:rPr>
          <w:rFonts w:ascii="Arial" w:eastAsia="Times New Roman" w:hAnsi="Arial" w:cs="Arial"/>
          <w:color w:val="362E48"/>
          <w:sz w:val="20"/>
          <w:szCs w:val="20"/>
          <w:lang w:eastAsia="ru-RU"/>
        </w:rPr>
        <w:t>кВтч</w:t>
      </w:r>
      <w:proofErr w:type="spellEnd"/>
    </w:p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992"/>
        <w:gridCol w:w="993"/>
        <w:gridCol w:w="1275"/>
        <w:gridCol w:w="993"/>
        <w:gridCol w:w="992"/>
        <w:gridCol w:w="1276"/>
      </w:tblGrid>
      <w:tr w:rsidR="003C50CB" w14:paraId="6E8D87E1" w14:textId="19D7E4CF" w:rsidTr="00087640">
        <w:tc>
          <w:tcPr>
            <w:tcW w:w="3686" w:type="dxa"/>
            <w:gridSpan w:val="3"/>
          </w:tcPr>
          <w:p w14:paraId="51115EC8" w14:textId="6C7DF8B7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3C50CB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Прочие потребители с максимальной мощностью менее 670 кВт</w:t>
            </w:r>
          </w:p>
        </w:tc>
        <w:tc>
          <w:tcPr>
            <w:tcW w:w="3260" w:type="dxa"/>
            <w:gridSpan w:val="3"/>
          </w:tcPr>
          <w:p w14:paraId="50A4659E" w14:textId="59200AC1" w:rsidR="003C50CB" w:rsidRPr="003C50CB" w:rsidRDefault="003C50CB" w:rsidP="003C50CB">
            <w:pPr>
              <w:spacing w:after="330"/>
              <w:ind w:hanging="9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4"/>
                <w:szCs w:val="24"/>
                <w:lang w:eastAsia="ru-RU"/>
              </w:rPr>
            </w:pPr>
            <w:r w:rsidRPr="003C50CB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Прочие потребители с максимальной мощностью от 670 кВт до 10 МВт</w:t>
            </w:r>
          </w:p>
        </w:tc>
        <w:tc>
          <w:tcPr>
            <w:tcW w:w="3261" w:type="dxa"/>
            <w:gridSpan w:val="3"/>
          </w:tcPr>
          <w:p w14:paraId="0A719D76" w14:textId="0BDA1B90" w:rsidR="003C50CB" w:rsidRPr="003C50CB" w:rsidRDefault="003C50CB" w:rsidP="003C50CB">
            <w:pPr>
              <w:spacing w:after="330"/>
              <w:ind w:hanging="9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</w:pPr>
            <w:r w:rsidRPr="003C50CB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Прочие потребители с максимальной мощностью 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не менее</w:t>
            </w:r>
            <w:r w:rsidRPr="003C50CB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10 МВт</w:t>
            </w:r>
          </w:p>
        </w:tc>
      </w:tr>
      <w:tr w:rsidR="003C50CB" w14:paraId="6A8832B0" w14:textId="43B27D8D" w:rsidTr="00087640">
        <w:tc>
          <w:tcPr>
            <w:tcW w:w="1135" w:type="dxa"/>
          </w:tcPr>
          <w:p w14:paraId="46A2C4BD" w14:textId="01FA92C0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3C50CB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п/г</w:t>
            </w:r>
          </w:p>
        </w:tc>
        <w:tc>
          <w:tcPr>
            <w:tcW w:w="1275" w:type="dxa"/>
          </w:tcPr>
          <w:p w14:paraId="4249B84A" w14:textId="33C7E88B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2</w:t>
            </w:r>
            <w:r w:rsidRPr="003C50CB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п/г </w:t>
            </w:r>
          </w:p>
        </w:tc>
        <w:tc>
          <w:tcPr>
            <w:tcW w:w="1276" w:type="dxa"/>
          </w:tcPr>
          <w:p w14:paraId="6E6D429E" w14:textId="01219D51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изменение</w:t>
            </w:r>
          </w:p>
        </w:tc>
        <w:tc>
          <w:tcPr>
            <w:tcW w:w="992" w:type="dxa"/>
          </w:tcPr>
          <w:p w14:paraId="212FCA39" w14:textId="7AB87A7A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F41DC3">
              <w:t>1 п/г</w:t>
            </w:r>
          </w:p>
        </w:tc>
        <w:tc>
          <w:tcPr>
            <w:tcW w:w="993" w:type="dxa"/>
          </w:tcPr>
          <w:p w14:paraId="6D626631" w14:textId="2C853EF3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F41DC3">
              <w:t xml:space="preserve">2 п/г </w:t>
            </w:r>
          </w:p>
        </w:tc>
        <w:tc>
          <w:tcPr>
            <w:tcW w:w="1275" w:type="dxa"/>
          </w:tcPr>
          <w:p w14:paraId="58AAAD53" w14:textId="5E61F5E0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4"/>
                <w:szCs w:val="24"/>
                <w:lang w:eastAsia="ru-RU"/>
              </w:rPr>
            </w:pPr>
            <w:r w:rsidRPr="00F41DC3">
              <w:t>изменение</w:t>
            </w:r>
          </w:p>
        </w:tc>
        <w:tc>
          <w:tcPr>
            <w:tcW w:w="993" w:type="dxa"/>
          </w:tcPr>
          <w:p w14:paraId="585D55A7" w14:textId="1E708BEA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</w:pPr>
            <w:r w:rsidRPr="001B4C58">
              <w:t>1 п/г</w:t>
            </w:r>
          </w:p>
        </w:tc>
        <w:tc>
          <w:tcPr>
            <w:tcW w:w="992" w:type="dxa"/>
          </w:tcPr>
          <w:p w14:paraId="1B8DED1B" w14:textId="496D4597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</w:pPr>
            <w:r w:rsidRPr="001B4C58">
              <w:t xml:space="preserve">2 п/г </w:t>
            </w:r>
          </w:p>
        </w:tc>
        <w:tc>
          <w:tcPr>
            <w:tcW w:w="1276" w:type="dxa"/>
          </w:tcPr>
          <w:p w14:paraId="31876137" w14:textId="0AFF6507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</w:pPr>
            <w:r w:rsidRPr="001B4C58">
              <w:t>изменение</w:t>
            </w:r>
          </w:p>
        </w:tc>
      </w:tr>
      <w:tr w:rsidR="003C50CB" w14:paraId="0A9DC09A" w14:textId="77777777" w:rsidTr="00087640">
        <w:tc>
          <w:tcPr>
            <w:tcW w:w="1135" w:type="dxa"/>
          </w:tcPr>
          <w:p w14:paraId="66C08461" w14:textId="42BF7DEA" w:rsidR="003C50CB" w:rsidRP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0,21193</w:t>
            </w:r>
          </w:p>
        </w:tc>
        <w:tc>
          <w:tcPr>
            <w:tcW w:w="1275" w:type="dxa"/>
          </w:tcPr>
          <w:p w14:paraId="02A359EE" w14:textId="02B6D692" w:rsid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0,68489</w:t>
            </w:r>
          </w:p>
        </w:tc>
        <w:tc>
          <w:tcPr>
            <w:tcW w:w="1276" w:type="dxa"/>
          </w:tcPr>
          <w:p w14:paraId="4FBDA706" w14:textId="711C40DA" w:rsidR="003C50CB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+0,47296</w:t>
            </w:r>
          </w:p>
        </w:tc>
        <w:tc>
          <w:tcPr>
            <w:tcW w:w="992" w:type="dxa"/>
          </w:tcPr>
          <w:p w14:paraId="39BD676D" w14:textId="25CC7333" w:rsidR="003C50CB" w:rsidRPr="00EB675F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0,14148</w:t>
            </w:r>
          </w:p>
        </w:tc>
        <w:tc>
          <w:tcPr>
            <w:tcW w:w="993" w:type="dxa"/>
          </w:tcPr>
          <w:p w14:paraId="32358DB3" w14:textId="138CB345" w:rsidR="003C50CB" w:rsidRPr="00EB675F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0,43516</w:t>
            </w:r>
          </w:p>
        </w:tc>
        <w:tc>
          <w:tcPr>
            <w:tcW w:w="1275" w:type="dxa"/>
          </w:tcPr>
          <w:p w14:paraId="4B89E258" w14:textId="21BB1C50" w:rsidR="003C50CB" w:rsidRPr="00EB675F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+0,29368</w:t>
            </w:r>
          </w:p>
        </w:tc>
        <w:tc>
          <w:tcPr>
            <w:tcW w:w="993" w:type="dxa"/>
          </w:tcPr>
          <w:p w14:paraId="03BD2D67" w14:textId="58DEE2DE" w:rsidR="003C50CB" w:rsidRPr="00EB675F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0,14141</w:t>
            </w:r>
          </w:p>
        </w:tc>
        <w:tc>
          <w:tcPr>
            <w:tcW w:w="992" w:type="dxa"/>
          </w:tcPr>
          <w:p w14:paraId="616A3495" w14:textId="77777777" w:rsidR="003C50CB" w:rsidRPr="00EB675F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0,22830</w:t>
            </w:r>
          </w:p>
          <w:p w14:paraId="0B837D52" w14:textId="4212AC56" w:rsidR="003C50CB" w:rsidRPr="00EB675F" w:rsidRDefault="003C50CB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E6B6F68" w14:textId="49FD3977" w:rsidR="003C50CB" w:rsidRPr="00EB675F" w:rsidRDefault="00611C55" w:rsidP="003C50CB">
            <w:pPr>
              <w:spacing w:after="330"/>
              <w:jc w:val="both"/>
              <w:textAlignment w:val="baseline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+</w:t>
            </w:r>
            <w:r w:rsidR="00EB675F"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0,0</w:t>
            </w:r>
            <w:r w:rsidRPr="00EB675F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8689</w:t>
            </w:r>
          </w:p>
        </w:tc>
      </w:tr>
    </w:tbl>
    <w:p w14:paraId="0741A40A" w14:textId="77777777" w:rsidR="00087640" w:rsidRDefault="00087640" w:rsidP="00087640">
      <w:p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</w:p>
    <w:p w14:paraId="5EC7E042" w14:textId="0E871260" w:rsidR="006163EF" w:rsidRPr="00117DB8" w:rsidRDefault="00117DB8" w:rsidP="00087640">
      <w:pPr>
        <w:shd w:val="clear" w:color="auto" w:fill="FFFFFF"/>
        <w:spacing w:after="330" w:line="240" w:lineRule="auto"/>
        <w:jc w:val="both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 w:rsidRPr="00117DB8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Таким образом</w:t>
      </w:r>
      <w:r w:rsid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, прирост конечной цены для </w:t>
      </w:r>
      <w:proofErr w:type="spellStart"/>
      <w:r w:rsid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мелкомоторных</w:t>
      </w:r>
      <w:proofErr w:type="spellEnd"/>
      <w:r w:rsid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потребителей за счет покупной электроэнергии и сбытовой надбавки</w:t>
      </w:r>
      <w:r w:rsidR="000D0C9F" w:rsidRP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</w:t>
      </w:r>
      <w:r w:rsid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составит 77 коп./</w:t>
      </w:r>
      <w:proofErr w:type="spellStart"/>
      <w:r w:rsid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кВтч</w:t>
      </w:r>
      <w:proofErr w:type="spellEnd"/>
      <w:r w:rsidR="000D0C9F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(без НДС) или 10%, для промышленных потребителей с максимальной мощностью от 670 до 10 МВт</w:t>
      </w:r>
      <w:r w:rsidR="00EB1CB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</w:t>
      </w:r>
      <w:r w:rsidR="00837CCC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порядка 60 коп/</w:t>
      </w:r>
      <w:proofErr w:type="spellStart"/>
      <w:r w:rsidR="00837CCC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кВтч</w:t>
      </w:r>
      <w:proofErr w:type="spellEnd"/>
      <w:r w:rsidR="00087640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(без НДС) или 8 %</w:t>
      </w:r>
      <w:r w:rsidR="00BC79E0"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 (необходимо отметить, что цена на покупную электроэнергию взята из расчета ГУ РЭК Тверской области при установлении тарифов на 2021 год)</w:t>
      </w:r>
      <w:r w:rsidR="0048035C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.</w:t>
      </w:r>
    </w:p>
    <w:p w14:paraId="749D83A7" w14:textId="0A91CC8B" w:rsidR="006944CC" w:rsidRDefault="00087640" w:rsidP="00087640">
      <w:pPr>
        <w:shd w:val="clear" w:color="auto" w:fill="FFFFFF"/>
        <w:spacing w:after="330" w:line="240" w:lineRule="auto"/>
        <w:ind w:left="360"/>
        <w:jc w:val="center"/>
        <w:textAlignment w:val="baseline"/>
      </w:pPr>
      <w:bookmarkStart w:id="0" w:name="_Hlk69129004"/>
      <w:r>
        <w:rPr>
          <w:lang w:eastAsia="ru-RU"/>
        </w:rPr>
        <w:t xml:space="preserve">                                                                                             </w:t>
      </w:r>
      <w:proofErr w:type="spellStart"/>
      <w:r w:rsidR="000D0C9F">
        <w:rPr>
          <w:lang w:eastAsia="ru-RU"/>
        </w:rPr>
        <w:t>Руб.кВтч</w:t>
      </w:r>
      <w:proofErr w:type="spellEnd"/>
      <w:r w:rsidR="000D0C9F">
        <w:rPr>
          <w:lang w:eastAsia="ru-RU"/>
        </w:rPr>
        <w:t>.</w:t>
      </w:r>
      <w:r w:rsidR="006944CC">
        <w:rPr>
          <w:lang w:eastAsia="ru-RU"/>
        </w:rPr>
        <w:fldChar w:fldCharType="begin"/>
      </w:r>
      <w:r w:rsidR="006944CC">
        <w:rPr>
          <w:lang w:eastAsia="ru-RU"/>
        </w:rPr>
        <w:instrText xml:space="preserve"> LINK Excel.Sheet.12 "C:\\ЦЕНЫ\\СВНЦ февраль 2021\\1-6 ЦК менее 670 кВт февраль 2021 для выставления.xlsx" "Приложение к счету!R3C2:R7C11" \a \f 4 \h  \* MERGEFORMAT </w:instrText>
      </w:r>
      <w:r w:rsidR="006944CC">
        <w:rPr>
          <w:lang w:eastAsia="ru-RU"/>
        </w:rPr>
        <w:fldChar w:fldCharType="separate"/>
      </w:r>
    </w:p>
    <w:tbl>
      <w:tblPr>
        <w:tblW w:w="8441" w:type="dxa"/>
        <w:tblInd w:w="-431" w:type="dxa"/>
        <w:tblLook w:val="04A0" w:firstRow="1" w:lastRow="0" w:firstColumn="1" w:lastColumn="0" w:noHBand="0" w:noVBand="1"/>
      </w:tblPr>
      <w:tblGrid>
        <w:gridCol w:w="2553"/>
        <w:gridCol w:w="1768"/>
        <w:gridCol w:w="1720"/>
        <w:gridCol w:w="1220"/>
        <w:gridCol w:w="1180"/>
      </w:tblGrid>
      <w:tr w:rsidR="00087640" w:rsidRPr="006944CC" w14:paraId="592A164C" w14:textId="77777777" w:rsidTr="00087640">
        <w:trPr>
          <w:trHeight w:val="2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582" w14:textId="6EA54671" w:rsidR="00087640" w:rsidRPr="006944CC" w:rsidRDefault="00087640" w:rsidP="006944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</w:pPr>
            <w:r w:rsidRPr="00EB1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менее 670 кВт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BC21" w14:textId="77777777" w:rsidR="00087640" w:rsidRPr="006944CC" w:rsidRDefault="00087640" w:rsidP="0069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FEE1" w14:textId="77777777" w:rsidR="00087640" w:rsidRPr="006944CC" w:rsidRDefault="00087640" w:rsidP="0069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СН1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BCC0" w14:textId="77777777" w:rsidR="00087640" w:rsidRPr="006944CC" w:rsidRDefault="00087640" w:rsidP="0069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СН2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08BE" w14:textId="77777777" w:rsidR="00087640" w:rsidRPr="006944CC" w:rsidRDefault="00087640" w:rsidP="00694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НН</w:t>
            </w:r>
          </w:p>
        </w:tc>
      </w:tr>
      <w:tr w:rsidR="00087640" w:rsidRPr="006944CC" w14:paraId="702F920F" w14:textId="77777777" w:rsidTr="00087640">
        <w:trPr>
          <w:trHeight w:val="64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4112" w14:textId="326C29E9" w:rsidR="00087640" w:rsidRPr="006944CC" w:rsidRDefault="00087640" w:rsidP="006944C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средневзвешенная нерегулируемая цена на электрическую энергию (мощность)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</w:t>
            </w:r>
            <w:r w:rsidRPr="000C590B"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  <w:t>1 полугодие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26F8" w14:textId="39EFAADE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BC0E" w14:textId="1337DAF4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3543" w14:textId="253A7432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0C74" w14:textId="5845FEFB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</w:tr>
      <w:tr w:rsidR="00087640" w:rsidRPr="006944CC" w14:paraId="1BF66D5D" w14:textId="77777777" w:rsidTr="00087640">
        <w:trPr>
          <w:trHeight w:val="64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2D20C" w14:textId="7DE7E39F" w:rsidR="00087640" w:rsidRPr="006944CC" w:rsidRDefault="00087640" w:rsidP="006944C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средневзвешенная нерегулируемая цена на электрическую энергию (мощность)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</w:t>
            </w:r>
            <w:r w:rsidRPr="000C590B"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  <w:t>2 полугодие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8A539" w14:textId="61C1FA6C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460A" w14:textId="6ED33CA0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A84D" w14:textId="7BC1FB01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3746D" w14:textId="371A5436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</w:tr>
      <w:tr w:rsidR="00087640" w:rsidRPr="006944CC" w14:paraId="136ED759" w14:textId="77777777" w:rsidTr="00087640">
        <w:trPr>
          <w:trHeight w:val="106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3412" w14:textId="372F9302" w:rsidR="00087640" w:rsidRPr="006944CC" w:rsidRDefault="00087640" w:rsidP="006944C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proofErr w:type="spellStart"/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одноставочный</w:t>
            </w:r>
            <w:proofErr w:type="spellEnd"/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тариф на услуги по передаче электрической энергии 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6B6E" w14:textId="0617C249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333A" w14:textId="44A19682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57824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10DC" w14:textId="29ABF34D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,1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AB20" w14:textId="71C67583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04377</w:t>
            </w:r>
          </w:p>
        </w:tc>
      </w:tr>
      <w:tr w:rsidR="00087640" w:rsidRPr="006944CC" w14:paraId="52075913" w14:textId="77777777" w:rsidTr="00087640">
        <w:trPr>
          <w:trHeight w:val="51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3A51" w14:textId="261F7CE3" w:rsidR="00087640" w:rsidRPr="006944CC" w:rsidRDefault="00087640" w:rsidP="006944C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сбытовая надбавка гарантирующего поставщика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1 п/г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FD07" w14:textId="2154322E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21193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95D7" w14:textId="74EB01D1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21193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1799" w14:textId="19A995F6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21193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25C9" w14:textId="1CABDAF6" w:rsidR="00087640" w:rsidRPr="006944CC" w:rsidRDefault="00087640" w:rsidP="006944C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645C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0,21193</w:t>
            </w:r>
          </w:p>
        </w:tc>
      </w:tr>
      <w:tr w:rsidR="00087640" w:rsidRPr="006944CC" w14:paraId="1C3FB5CC" w14:textId="77777777" w:rsidTr="00087640">
        <w:trPr>
          <w:trHeight w:val="51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BC67F" w14:textId="084331CA" w:rsidR="00087640" w:rsidRPr="006944CC" w:rsidRDefault="00087640" w:rsidP="000C590B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сбытовая надбавка гарантирующего поставщика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2 п/г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1C416" w14:textId="7457F1D0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0,68489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C4872" w14:textId="3EFC58A7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0,68489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4300D" w14:textId="2CC595FE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0,68489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45F7A" w14:textId="6C2A1333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0,68489</w:t>
            </w:r>
          </w:p>
        </w:tc>
      </w:tr>
      <w:tr w:rsidR="00087640" w:rsidRPr="006944CC" w14:paraId="15EFB40F" w14:textId="77777777" w:rsidTr="00087640">
        <w:trPr>
          <w:trHeight w:val="79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0B8F" w14:textId="77777777" w:rsidR="00087640" w:rsidRPr="006944CC" w:rsidRDefault="00087640" w:rsidP="000C59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плата за иные услуги, оказание которых является неотъемлемой частью процесса поставки электрической энергии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FF8D" w14:textId="67578DE8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87" w14:textId="6D933438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72EA" w14:textId="1C6CE603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3381" w14:textId="3509C2C5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</w:tr>
      <w:tr w:rsidR="00087640" w:rsidRPr="006944CC" w14:paraId="22395DD0" w14:textId="77777777" w:rsidTr="00087640">
        <w:trPr>
          <w:trHeight w:val="79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2454" w14:textId="62C69EF5" w:rsidR="00087640" w:rsidRPr="006944CC" w:rsidRDefault="00087640" w:rsidP="000C590B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конечная цена </w:t>
            </w:r>
            <w:proofErr w:type="gramStart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1  п</w:t>
            </w:r>
            <w:proofErr w:type="gramEnd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/г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315BD" w14:textId="51854D8A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4,89212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560" w14:textId="30793E25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5,30887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BE2D1" w14:textId="428DB55E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5,8515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93595" w14:textId="765AEC45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6,7744</w:t>
            </w:r>
          </w:p>
        </w:tc>
      </w:tr>
      <w:tr w:rsidR="00087640" w:rsidRPr="006944CC" w14:paraId="3338198A" w14:textId="77777777" w:rsidTr="00087640">
        <w:trPr>
          <w:trHeight w:val="79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A056" w14:textId="665B5E28" w:rsidR="00087640" w:rsidRDefault="00087640" w:rsidP="000C590B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конечная цена </w:t>
            </w:r>
            <w:proofErr w:type="gramStart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2  п</w:t>
            </w:r>
            <w:proofErr w:type="gramEnd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/г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D68C" w14:textId="163FB6D9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5,66708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7E2B" w14:textId="5F19FAFA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6,08383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223" w14:textId="2777283A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6,62646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A8C60" w14:textId="592ED908" w:rsidR="00087640" w:rsidRPr="006944CC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7,54936</w:t>
            </w:r>
          </w:p>
        </w:tc>
      </w:tr>
      <w:tr w:rsidR="00087640" w:rsidRPr="006944CC" w14:paraId="1805F4FA" w14:textId="77777777" w:rsidTr="00087640">
        <w:trPr>
          <w:trHeight w:val="79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16B2D" w14:textId="02B0E518" w:rsidR="00087640" w:rsidRDefault="00087640" w:rsidP="000C590B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прирост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1AE1" w14:textId="5F4823E1" w:rsidR="00087640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+0,77496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E8D3" w14:textId="3D3AA98E" w:rsidR="00087640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+0,77496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DE49C" w14:textId="77FA8697" w:rsidR="00087640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+0,77496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7F52F" w14:textId="1FD8B877" w:rsidR="00087640" w:rsidRDefault="00087640" w:rsidP="000C590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+0,77496</w:t>
            </w:r>
          </w:p>
        </w:tc>
      </w:tr>
    </w:tbl>
    <w:p w14:paraId="66956646" w14:textId="27DB4EE9" w:rsidR="006D0D11" w:rsidRDefault="006944CC" w:rsidP="00C712F6">
      <w:pPr>
        <w:shd w:val="clear" w:color="auto" w:fill="FFFFFF"/>
        <w:spacing w:after="330" w:line="240" w:lineRule="auto"/>
        <w:ind w:left="360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lastRenderedPageBreak/>
        <w:fldChar w:fldCharType="end"/>
      </w:r>
      <w:bookmarkEnd w:id="0"/>
    </w:p>
    <w:p w14:paraId="08897D33" w14:textId="40B703B1" w:rsidR="00EB1CB6" w:rsidRDefault="00087640" w:rsidP="00087640">
      <w:pPr>
        <w:shd w:val="clear" w:color="auto" w:fill="FFFFFF"/>
        <w:spacing w:after="330" w:line="240" w:lineRule="auto"/>
        <w:ind w:left="360"/>
        <w:jc w:val="center"/>
        <w:textAlignment w:val="baseline"/>
      </w:pPr>
      <w:r>
        <w:rPr>
          <w:lang w:eastAsia="ru-RU"/>
        </w:rPr>
        <w:t xml:space="preserve">                                                                                                                                                      </w:t>
      </w:r>
      <w:proofErr w:type="spellStart"/>
      <w:r w:rsidR="00EB1CB6">
        <w:rPr>
          <w:lang w:eastAsia="ru-RU"/>
        </w:rPr>
        <w:t>Руб.кВтч</w:t>
      </w:r>
      <w:proofErr w:type="spellEnd"/>
      <w:r w:rsidR="00EB1CB6">
        <w:rPr>
          <w:lang w:eastAsia="ru-RU"/>
        </w:rPr>
        <w:t>.</w:t>
      </w:r>
      <w:r w:rsidR="00EB1CB6">
        <w:rPr>
          <w:lang w:eastAsia="ru-RU"/>
        </w:rPr>
        <w:fldChar w:fldCharType="begin"/>
      </w:r>
      <w:r w:rsidR="00EB1CB6">
        <w:rPr>
          <w:lang w:eastAsia="ru-RU"/>
        </w:rPr>
        <w:instrText xml:space="preserve"> LINK Excel.Sheet.12 "C:\\ЦЕНЫ\\СВНЦ февраль 2021\\1-6 ЦК менее 670 кВт февраль 2021 для выставления.xlsx" "Приложение к счету!R3C2:R7C11" \a \f 4 \h  \* MERGEFORMAT </w:instrText>
      </w:r>
      <w:r w:rsidR="00EB1CB6">
        <w:rPr>
          <w:lang w:eastAsia="ru-RU"/>
        </w:rPr>
        <w:fldChar w:fldCharType="separate"/>
      </w:r>
    </w:p>
    <w:tbl>
      <w:tblPr>
        <w:tblW w:w="8790" w:type="dxa"/>
        <w:tblInd w:w="704" w:type="dxa"/>
        <w:tblLook w:val="04A0" w:firstRow="1" w:lastRow="0" w:firstColumn="1" w:lastColumn="0" w:noHBand="0" w:noVBand="1"/>
      </w:tblPr>
      <w:tblGrid>
        <w:gridCol w:w="3545"/>
        <w:gridCol w:w="1417"/>
        <w:gridCol w:w="1418"/>
        <w:gridCol w:w="1276"/>
        <w:gridCol w:w="1134"/>
      </w:tblGrid>
      <w:tr w:rsidR="00087640" w:rsidRPr="006944CC" w14:paraId="0F915D22" w14:textId="77777777" w:rsidTr="00087640">
        <w:trPr>
          <w:trHeight w:val="27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BAF0" w14:textId="32E81D55" w:rsidR="00087640" w:rsidRPr="006944CC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от</w:t>
            </w:r>
            <w:r w:rsidRPr="00EB1C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670 кВт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до 10 МВт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5285" w14:textId="77777777" w:rsidR="00087640" w:rsidRPr="006944CC" w:rsidRDefault="00087640" w:rsidP="00302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6832" w14:textId="77777777" w:rsidR="00087640" w:rsidRPr="006944CC" w:rsidRDefault="00087640" w:rsidP="00302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СН1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22A1" w14:textId="77777777" w:rsidR="00087640" w:rsidRPr="006944CC" w:rsidRDefault="00087640" w:rsidP="00302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СН2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4A84" w14:textId="77777777" w:rsidR="00087640" w:rsidRPr="006944CC" w:rsidRDefault="00087640" w:rsidP="00302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944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НН</w:t>
            </w:r>
          </w:p>
        </w:tc>
      </w:tr>
      <w:tr w:rsidR="00087640" w:rsidRPr="006944CC" w14:paraId="63E6F20A" w14:textId="77777777" w:rsidTr="00087640">
        <w:trPr>
          <w:trHeight w:val="64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9726" w14:textId="77777777" w:rsidR="00087640" w:rsidRPr="006944CC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средневзвешенная нерегулируемая цена на электрическую энергию (мощность)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</w:t>
            </w:r>
            <w:r w:rsidRPr="000C590B"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  <w:t>1 полугодие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BDF0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A07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738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FBF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2,515</w:t>
            </w:r>
          </w:p>
        </w:tc>
      </w:tr>
      <w:tr w:rsidR="00087640" w:rsidRPr="006944CC" w14:paraId="31221875" w14:textId="77777777" w:rsidTr="00087640">
        <w:trPr>
          <w:trHeight w:val="64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578E" w14:textId="77777777" w:rsidR="00087640" w:rsidRPr="006944CC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средневзвешенная нерегулируемая цена на электрическую энергию (мощность)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</w:t>
            </w:r>
            <w:r w:rsidRPr="000C590B">
              <w:rPr>
                <w:rFonts w:ascii="Arial" w:eastAsia="Times New Roman" w:hAnsi="Arial" w:cs="Arial"/>
                <w:b/>
                <w:bCs/>
                <w:color w:val="362E48"/>
                <w:sz w:val="20"/>
                <w:szCs w:val="20"/>
                <w:lang w:eastAsia="ru-RU"/>
              </w:rPr>
              <w:t>2 полугодие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7B694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0B4E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8A60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52F3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2,817</w:t>
            </w:r>
          </w:p>
        </w:tc>
      </w:tr>
      <w:tr w:rsidR="00087640" w:rsidRPr="006944CC" w14:paraId="3789CF42" w14:textId="77777777" w:rsidTr="00087640">
        <w:trPr>
          <w:trHeight w:val="106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14BA" w14:textId="77777777" w:rsidR="00087640" w:rsidRPr="006944CC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proofErr w:type="spellStart"/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одноставочный</w:t>
            </w:r>
            <w:proofErr w:type="spellEnd"/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тариф на услуги по передаче электрической энергии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2E2B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001D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FDF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,1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5E7E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04377</w:t>
            </w:r>
          </w:p>
        </w:tc>
      </w:tr>
      <w:tr w:rsidR="00087640" w:rsidRPr="006944CC" w14:paraId="125EA421" w14:textId="77777777" w:rsidTr="00087640">
        <w:trPr>
          <w:trHeight w:val="51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D564" w14:textId="77777777" w:rsidR="00087640" w:rsidRPr="006944CC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сбытовая надбавка гарантирующего поставщика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1 п/г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89FD" w14:textId="29A6276A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0,14148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8D78" w14:textId="0C32C1A1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0,14148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91745" w14:textId="49877E5A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0,14148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EBABD" w14:textId="7441D329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0,14148</w:t>
            </w:r>
          </w:p>
        </w:tc>
      </w:tr>
      <w:tr w:rsidR="00087640" w:rsidRPr="006944CC" w14:paraId="22F188FA" w14:textId="77777777" w:rsidTr="00087640">
        <w:trPr>
          <w:trHeight w:val="510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B33B2" w14:textId="77777777" w:rsidR="00087640" w:rsidRPr="006944CC" w:rsidRDefault="00087640" w:rsidP="00EB1CB6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сбытовая надбавка гарантирующего поставщика</w:t>
            </w: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 2 п/г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0E16A" w14:textId="77777777" w:rsidR="00087640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  <w:p w14:paraId="316CACBA" w14:textId="24693347" w:rsidR="00087640" w:rsidRPr="006944CC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0,43516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46175" w14:textId="77777777" w:rsidR="00087640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  <w:p w14:paraId="312B3350" w14:textId="3834894F" w:rsidR="00087640" w:rsidRPr="006944CC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0,43516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ADD87" w14:textId="77777777" w:rsidR="00087640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  <w:p w14:paraId="615C5270" w14:textId="3B9BA377" w:rsidR="00087640" w:rsidRPr="006944CC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0,43516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15379" w14:textId="77777777" w:rsidR="00087640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  <w:p w14:paraId="2DD36C61" w14:textId="537160F4" w:rsidR="00087640" w:rsidRPr="006944CC" w:rsidRDefault="00087640" w:rsidP="00EB1CB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B1CB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0,43516</w:t>
            </w:r>
          </w:p>
        </w:tc>
      </w:tr>
      <w:tr w:rsidR="00087640" w:rsidRPr="006944CC" w14:paraId="06C921E2" w14:textId="77777777" w:rsidTr="00087640">
        <w:trPr>
          <w:trHeight w:val="79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9A17" w14:textId="77777777" w:rsidR="00087640" w:rsidRPr="006944CC" w:rsidRDefault="00087640" w:rsidP="00302C6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944CC"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плата за иные услуги, оказание которых является неотъемлемой частью процесса поставки электрической энергии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8B2E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0C2D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D11E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63A3" w14:textId="77777777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  <w:r w:rsidRPr="006944C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</w:tr>
      <w:tr w:rsidR="00087640" w:rsidRPr="006944CC" w14:paraId="0F3652B6" w14:textId="77777777" w:rsidTr="00087640">
        <w:trPr>
          <w:trHeight w:val="79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A162" w14:textId="77777777" w:rsidR="00087640" w:rsidRPr="006944CC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конечная цена </w:t>
            </w:r>
            <w:proofErr w:type="gramStart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1  п</w:t>
            </w:r>
            <w:proofErr w:type="gramEnd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/г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A95B6" w14:textId="0CF50BAE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4,82167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E2741" w14:textId="7CE94FBF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5,23842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D509" w14:textId="4DF45D0B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5,78105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D8DD0" w14:textId="4EE46AAE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6,70395</w:t>
            </w:r>
          </w:p>
        </w:tc>
      </w:tr>
      <w:tr w:rsidR="00087640" w:rsidRPr="006944CC" w14:paraId="74E6A352" w14:textId="77777777" w:rsidTr="00087640">
        <w:trPr>
          <w:trHeight w:val="79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C432" w14:textId="77777777" w:rsidR="00087640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 xml:space="preserve">конечная цена </w:t>
            </w:r>
            <w:proofErr w:type="gramStart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2  п</w:t>
            </w:r>
            <w:proofErr w:type="gramEnd"/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/г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A658" w14:textId="55456FC3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5,41735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4F32" w14:textId="679FAF31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5,8341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E0BF" w14:textId="18314B2C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6,37673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BFFA" w14:textId="052233C3" w:rsidR="00087640" w:rsidRPr="006944CC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7,29963</w:t>
            </w:r>
          </w:p>
        </w:tc>
      </w:tr>
      <w:tr w:rsidR="00087640" w:rsidRPr="006944CC" w14:paraId="1C74D009" w14:textId="77777777" w:rsidTr="00087640">
        <w:trPr>
          <w:trHeight w:val="795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8842" w14:textId="77777777" w:rsidR="00087640" w:rsidRDefault="00087640" w:rsidP="00302C6C">
            <w:pPr>
              <w:spacing w:after="0" w:line="240" w:lineRule="auto"/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62E48"/>
                <w:sz w:val="20"/>
                <w:szCs w:val="20"/>
                <w:lang w:eastAsia="ru-RU"/>
              </w:rPr>
              <w:t>прирост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979B4" w14:textId="53E88888" w:rsidR="00087640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+0,59568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943A" w14:textId="23E96510" w:rsidR="00087640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+0,59568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6ADB" w14:textId="27892065" w:rsidR="00087640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+0,59568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4214" w14:textId="722537D3" w:rsidR="00087640" w:rsidRDefault="00087640" w:rsidP="00302C6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+0,59568</w:t>
            </w:r>
          </w:p>
        </w:tc>
      </w:tr>
    </w:tbl>
    <w:p w14:paraId="161A6FFC" w14:textId="485DA9C8" w:rsidR="00C712F6" w:rsidRPr="00C712F6" w:rsidRDefault="00EB1CB6" w:rsidP="00C712F6">
      <w:pPr>
        <w:shd w:val="clear" w:color="auto" w:fill="FFFFFF"/>
        <w:spacing w:after="330" w:line="240" w:lineRule="auto"/>
        <w:ind w:left="360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fldChar w:fldCharType="end"/>
      </w:r>
    </w:p>
    <w:p w14:paraId="58970C81" w14:textId="77777777" w:rsidR="001B03B8" w:rsidRPr="001B03B8" w:rsidRDefault="001B03B8" w:rsidP="001B03B8">
      <w:pPr>
        <w:spacing w:after="0" w:line="390" w:lineRule="atLeast"/>
        <w:outlineLvl w:val="2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1B03B8" w:rsidRPr="001B03B8" w:rsidSect="00087640">
      <w:pgSz w:w="11906" w:h="16838"/>
      <w:pgMar w:top="1134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D81"/>
    <w:multiLevelType w:val="hybridMultilevel"/>
    <w:tmpl w:val="3816F2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5224D"/>
    <w:multiLevelType w:val="multilevel"/>
    <w:tmpl w:val="5A22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03E16"/>
    <w:multiLevelType w:val="hybridMultilevel"/>
    <w:tmpl w:val="24264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630EA"/>
    <w:multiLevelType w:val="multilevel"/>
    <w:tmpl w:val="6444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74B3C"/>
    <w:multiLevelType w:val="hybridMultilevel"/>
    <w:tmpl w:val="EFA40E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B8"/>
    <w:rsid w:val="00087640"/>
    <w:rsid w:val="000C590B"/>
    <w:rsid w:val="000D0C9F"/>
    <w:rsid w:val="00110F04"/>
    <w:rsid w:val="00117DB8"/>
    <w:rsid w:val="001B03B8"/>
    <w:rsid w:val="003C50CB"/>
    <w:rsid w:val="0048035C"/>
    <w:rsid w:val="005645C9"/>
    <w:rsid w:val="00611C55"/>
    <w:rsid w:val="006163EF"/>
    <w:rsid w:val="006923DD"/>
    <w:rsid w:val="006944CC"/>
    <w:rsid w:val="006D0D11"/>
    <w:rsid w:val="00725FCA"/>
    <w:rsid w:val="00787E23"/>
    <w:rsid w:val="00837CCC"/>
    <w:rsid w:val="00BC79E0"/>
    <w:rsid w:val="00C712F6"/>
    <w:rsid w:val="00DC48C3"/>
    <w:rsid w:val="00E62681"/>
    <w:rsid w:val="00EB1CB6"/>
    <w:rsid w:val="00EB675F"/>
    <w:rsid w:val="00F1003D"/>
    <w:rsid w:val="00FA56E6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5993"/>
  <w15:chartTrackingRefBased/>
  <w15:docId w15:val="{426EB806-8DA8-4862-AADA-6E8CAE7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6E6"/>
    <w:pPr>
      <w:ind w:left="720"/>
      <w:contextualSpacing/>
    </w:pPr>
  </w:style>
  <w:style w:type="table" w:styleId="a4">
    <w:name w:val="Table Grid"/>
    <w:basedOn w:val="a1"/>
    <w:uiPriority w:val="39"/>
    <w:rsid w:val="0061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980">
          <w:marLeft w:val="0"/>
          <w:marRight w:val="0"/>
          <w:marTop w:val="300"/>
          <w:marBottom w:val="300"/>
          <w:divBdr>
            <w:top w:val="dashed" w:sz="6" w:space="15" w:color="991605"/>
            <w:left w:val="dashed" w:sz="6" w:space="29" w:color="991605"/>
            <w:bottom w:val="dashed" w:sz="6" w:space="15" w:color="991605"/>
            <w:right w:val="dashed" w:sz="6" w:space="29" w:color="991605"/>
          </w:divBdr>
        </w:div>
        <w:div w:id="130241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5838">
          <w:marLeft w:val="0"/>
          <w:marRight w:val="0"/>
          <w:marTop w:val="300"/>
          <w:marBottom w:val="300"/>
          <w:divBdr>
            <w:top w:val="dashed" w:sz="6" w:space="15" w:color="991605"/>
            <w:left w:val="dashed" w:sz="6" w:space="29" w:color="991605"/>
            <w:bottom w:val="dashed" w:sz="6" w:space="15" w:color="991605"/>
            <w:right w:val="dashed" w:sz="6" w:space="29" w:color="991605"/>
          </w:divBdr>
        </w:div>
        <w:div w:id="1782257751">
          <w:marLeft w:val="0"/>
          <w:marRight w:val="0"/>
          <w:marTop w:val="300"/>
          <w:marBottom w:val="300"/>
          <w:divBdr>
            <w:top w:val="dashed" w:sz="6" w:space="15" w:color="991605"/>
            <w:left w:val="dashed" w:sz="6" w:space="29" w:color="991605"/>
            <w:bottom w:val="dashed" w:sz="6" w:space="15" w:color="991605"/>
            <w:right w:val="dashed" w:sz="6" w:space="29" w:color="991605"/>
          </w:divBdr>
        </w:div>
        <w:div w:id="1417677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3379">
          <w:marLeft w:val="0"/>
          <w:marRight w:val="0"/>
          <w:marTop w:val="300"/>
          <w:marBottom w:val="300"/>
          <w:divBdr>
            <w:top w:val="dashed" w:sz="6" w:space="15" w:color="991605"/>
            <w:left w:val="dashed" w:sz="6" w:space="29" w:color="991605"/>
            <w:bottom w:val="dashed" w:sz="6" w:space="15" w:color="991605"/>
            <w:right w:val="dashed" w:sz="6" w:space="29" w:color="991605"/>
          </w:divBdr>
        </w:div>
        <w:div w:id="1282767299">
          <w:marLeft w:val="0"/>
          <w:marRight w:val="0"/>
          <w:marTop w:val="300"/>
          <w:marBottom w:val="300"/>
          <w:divBdr>
            <w:top w:val="dashed" w:sz="6" w:space="15" w:color="991605"/>
            <w:left w:val="dashed" w:sz="6" w:space="29" w:color="991605"/>
            <w:bottom w:val="dashed" w:sz="6" w:space="15" w:color="991605"/>
            <w:right w:val="dashed" w:sz="6" w:space="29" w:color="991605"/>
          </w:divBdr>
        </w:div>
      </w:divsChild>
    </w:div>
    <w:div w:id="2005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Дубакова</dc:creator>
  <cp:keywords/>
  <dc:description/>
  <cp:lastModifiedBy>Дубакова</cp:lastModifiedBy>
  <cp:revision>16</cp:revision>
  <dcterms:created xsi:type="dcterms:W3CDTF">2021-04-12T07:39:00Z</dcterms:created>
  <dcterms:modified xsi:type="dcterms:W3CDTF">2021-04-13T09:34:00Z</dcterms:modified>
</cp:coreProperties>
</file>