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EA4876" w:rsidRDefault="00256297" w:rsidP="00403520">
            <w:pPr>
              <w:widowControl w:val="0"/>
              <w:ind w:left="-142"/>
              <w:jc w:val="center"/>
              <w:rPr>
                <w:b/>
                <w:sz w:val="27"/>
                <w:szCs w:val="27"/>
                <w:lang w:val="en-US"/>
              </w:rPr>
            </w:pPr>
            <w:r w:rsidRPr="00EA4876">
              <w:rPr>
                <w:sz w:val="20"/>
                <w:szCs w:val="20"/>
                <w:lang w:val="en-US"/>
              </w:rPr>
              <w:t>1</w:t>
            </w:r>
            <w:r w:rsidR="00403520" w:rsidRPr="00EA4876">
              <w:rPr>
                <w:sz w:val="20"/>
                <w:szCs w:val="20"/>
                <w:lang w:val="en-US"/>
              </w:rPr>
              <w:t>8</w:t>
            </w:r>
            <w:r w:rsidR="00F2757B" w:rsidRPr="00EA4876">
              <w:rPr>
                <w:sz w:val="20"/>
                <w:szCs w:val="20"/>
                <w:lang w:val="en-US"/>
              </w:rPr>
              <w:t>.03</w:t>
            </w:r>
            <w:r w:rsidR="00254C9F" w:rsidRPr="00EA4876">
              <w:rPr>
                <w:sz w:val="20"/>
                <w:szCs w:val="20"/>
                <w:lang w:val="en-US"/>
              </w:rPr>
              <w:t>.</w:t>
            </w:r>
            <w:r w:rsidR="005D1DA0" w:rsidRPr="00EA4876">
              <w:rPr>
                <w:sz w:val="20"/>
                <w:szCs w:val="20"/>
                <w:lang w:val="en-US"/>
              </w:rPr>
              <w:t>20</w:t>
            </w:r>
            <w:r w:rsidR="00D47B1A" w:rsidRPr="00EA4876">
              <w:rPr>
                <w:sz w:val="20"/>
                <w:szCs w:val="20"/>
                <w:lang w:val="en-US"/>
              </w:rPr>
              <w:t>2</w:t>
            </w:r>
            <w:r w:rsidR="00022920" w:rsidRPr="00EA4876">
              <w:rPr>
                <w:sz w:val="20"/>
                <w:szCs w:val="20"/>
                <w:lang w:val="en-US"/>
              </w:rPr>
              <w:t>2</w:t>
            </w:r>
            <w:r w:rsidR="005D1DA0" w:rsidRPr="00EA4876">
              <w:rPr>
                <w:sz w:val="20"/>
                <w:szCs w:val="20"/>
                <w:lang w:val="en-US"/>
              </w:rPr>
              <w:t xml:space="preserve"> </w:t>
            </w:r>
            <w:r w:rsidR="005D1DA0" w:rsidRPr="005D1DA0">
              <w:rPr>
                <w:sz w:val="20"/>
                <w:szCs w:val="20"/>
              </w:rPr>
              <w:t>г</w:t>
            </w:r>
            <w:r w:rsidR="005D1DA0" w:rsidRPr="00EA4876">
              <w:rPr>
                <w:sz w:val="20"/>
                <w:szCs w:val="20"/>
                <w:lang w:val="en-US"/>
              </w:rPr>
              <w:t xml:space="preserve">.  № </w:t>
            </w:r>
            <w:r w:rsidR="005D1DA0" w:rsidRPr="005D1DA0">
              <w:rPr>
                <w:sz w:val="20"/>
                <w:szCs w:val="20"/>
              </w:rPr>
              <w:t>б</w:t>
            </w:r>
            <w:r w:rsidR="005D1DA0" w:rsidRPr="00EA4876">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D5610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B03563" w:rsidP="00A210D3">
      <w:pPr>
        <w:ind w:firstLine="567"/>
        <w:jc w:val="both"/>
        <w:rPr>
          <w:sz w:val="28"/>
          <w:szCs w:val="28"/>
          <w:shd w:val="clear" w:color="auto" w:fill="FFFFFF"/>
        </w:rPr>
      </w:pPr>
      <w:r>
        <w:rPr>
          <w:sz w:val="28"/>
          <w:szCs w:val="28"/>
          <w:shd w:val="clear" w:color="auto" w:fill="FFFFFF"/>
        </w:rPr>
        <w:t>1</w:t>
      </w:r>
      <w:r w:rsidR="00403520">
        <w:rPr>
          <w:sz w:val="28"/>
          <w:szCs w:val="28"/>
          <w:shd w:val="clear" w:color="auto" w:fill="FFFFFF"/>
        </w:rPr>
        <w:t>8</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403520">
        <w:rPr>
          <w:sz w:val="28"/>
          <w:szCs w:val="28"/>
          <w:shd w:val="clear" w:color="auto" w:fill="FFFFFF"/>
        </w:rPr>
        <w:t>Калининского</w:t>
      </w:r>
      <w:r w:rsidR="009E7569">
        <w:rPr>
          <w:sz w:val="28"/>
          <w:szCs w:val="28"/>
          <w:shd w:val="clear" w:color="auto" w:fill="FFFFFF"/>
        </w:rPr>
        <w:t xml:space="preserve"> района</w:t>
      </w:r>
      <w:r w:rsidR="00A210D3">
        <w:rPr>
          <w:sz w:val="28"/>
          <w:szCs w:val="28"/>
          <w:shd w:val="clear" w:color="auto" w:fill="FFFFFF"/>
        </w:rPr>
        <w:t xml:space="preserve"> поступила информация о </w:t>
      </w:r>
      <w:r w:rsidR="009C7F7C">
        <w:rPr>
          <w:sz w:val="28"/>
          <w:szCs w:val="28"/>
          <w:shd w:val="clear" w:color="auto" w:fill="FFFFFF"/>
        </w:rPr>
        <w:t xml:space="preserve">нарушении </w:t>
      </w:r>
      <w:r w:rsidR="00EA4876">
        <w:rPr>
          <w:sz w:val="28"/>
          <w:szCs w:val="28"/>
          <w:shd w:val="clear" w:color="auto" w:fill="FFFFFF"/>
        </w:rPr>
        <w:t>газоснабжения</w:t>
      </w:r>
      <w:r w:rsidR="00EB1F6E">
        <w:rPr>
          <w:sz w:val="28"/>
          <w:szCs w:val="28"/>
          <w:shd w:val="clear" w:color="auto" w:fill="FFFFFF"/>
        </w:rPr>
        <w:t xml:space="preserve"> в 48-квартирном</w:t>
      </w:r>
      <w:r w:rsidR="00EA4876">
        <w:rPr>
          <w:sz w:val="28"/>
          <w:szCs w:val="28"/>
          <w:shd w:val="clear" w:color="auto" w:fill="FFFFFF"/>
        </w:rPr>
        <w:t xml:space="preserve"> </w:t>
      </w:r>
      <w:r w:rsidR="00EB1F6E">
        <w:rPr>
          <w:sz w:val="28"/>
          <w:szCs w:val="28"/>
          <w:shd w:val="clear" w:color="auto" w:fill="FFFFFF"/>
        </w:rPr>
        <w:t xml:space="preserve">доме </w:t>
      </w:r>
      <w:r w:rsidR="00EA4876">
        <w:rPr>
          <w:sz w:val="28"/>
          <w:szCs w:val="28"/>
          <w:shd w:val="clear" w:color="auto" w:fill="FFFFFF"/>
        </w:rPr>
        <w:t>по адресу: Калининский район, п. Заволжский, д. № 13</w:t>
      </w:r>
      <w:r w:rsidR="00F2582C">
        <w:rPr>
          <w:sz w:val="28"/>
          <w:szCs w:val="28"/>
          <w:shd w:val="clear" w:color="auto" w:fill="FFFFFF"/>
        </w:rPr>
        <w:t>.</w:t>
      </w:r>
    </w:p>
    <w:p w:rsidR="00DD116F" w:rsidRDefault="00EA4876" w:rsidP="00A210D3">
      <w:pPr>
        <w:ind w:firstLine="567"/>
        <w:jc w:val="both"/>
        <w:rPr>
          <w:sz w:val="28"/>
          <w:szCs w:val="28"/>
          <w:shd w:val="clear" w:color="auto" w:fill="FFFFFF"/>
        </w:rPr>
      </w:pPr>
      <w:r>
        <w:rPr>
          <w:sz w:val="28"/>
          <w:szCs w:val="28"/>
          <w:shd w:val="clear" w:color="auto" w:fill="FFFFFF"/>
        </w:rPr>
        <w:t xml:space="preserve">Установлено, что 11.03.2022 в ходе проведения проверки филиалом </w:t>
      </w:r>
      <w:r w:rsidRPr="00EA4876">
        <w:rPr>
          <w:sz w:val="28"/>
          <w:szCs w:val="28"/>
          <w:shd w:val="clear" w:color="auto" w:fill="FFFFFF"/>
        </w:rPr>
        <w:t>АО «Газпром газораспределение Тверь»</w:t>
      </w:r>
      <w:r>
        <w:rPr>
          <w:sz w:val="28"/>
          <w:szCs w:val="28"/>
          <w:shd w:val="clear" w:color="auto" w:fill="FFFFFF"/>
        </w:rPr>
        <w:t xml:space="preserve"> безопасности пользования газовыми приборами по данному адресу были выявлены нарушения</w:t>
      </w:r>
      <w:r w:rsidR="00647E55">
        <w:rPr>
          <w:sz w:val="28"/>
          <w:szCs w:val="28"/>
          <w:shd w:val="clear" w:color="auto" w:fill="FFFFFF"/>
        </w:rPr>
        <w:t>,</w:t>
      </w:r>
      <w:r>
        <w:rPr>
          <w:sz w:val="28"/>
          <w:szCs w:val="28"/>
          <w:shd w:val="clear" w:color="auto" w:fill="FFFFFF"/>
        </w:rPr>
        <w:t xml:space="preserve"> </w:t>
      </w:r>
      <w:r w:rsidR="00647E55">
        <w:rPr>
          <w:sz w:val="28"/>
          <w:szCs w:val="28"/>
          <w:shd w:val="clear" w:color="auto" w:fill="FFFFFF"/>
        </w:rPr>
        <w:t xml:space="preserve">в </w:t>
      </w:r>
      <w:proofErr w:type="gramStart"/>
      <w:r w:rsidR="00647E55">
        <w:rPr>
          <w:sz w:val="28"/>
          <w:szCs w:val="28"/>
          <w:shd w:val="clear" w:color="auto" w:fill="FFFFFF"/>
        </w:rPr>
        <w:t>связи</w:t>
      </w:r>
      <w:proofErr w:type="gramEnd"/>
      <w:r w:rsidR="00647E55">
        <w:rPr>
          <w:sz w:val="28"/>
          <w:szCs w:val="28"/>
          <w:shd w:val="clear" w:color="auto" w:fill="FFFFFF"/>
        </w:rPr>
        <w:t xml:space="preserve"> с чем была приостановлена подача газа до устранения нарушений</w:t>
      </w:r>
      <w:r w:rsidR="00CB1DE2">
        <w:rPr>
          <w:sz w:val="28"/>
          <w:szCs w:val="28"/>
          <w:shd w:val="clear" w:color="auto" w:fill="FFFFFF"/>
        </w:rPr>
        <w:t xml:space="preserve"> Управляющей компанией</w:t>
      </w:r>
      <w:r w:rsidR="00EB1F6E">
        <w:rPr>
          <w:sz w:val="28"/>
          <w:szCs w:val="28"/>
          <w:shd w:val="clear" w:color="auto" w:fill="FFFFFF"/>
        </w:rPr>
        <w:t>.</w:t>
      </w:r>
    </w:p>
    <w:p w:rsidR="00647E55" w:rsidRDefault="00647E55" w:rsidP="00A210D3">
      <w:pPr>
        <w:ind w:firstLine="567"/>
        <w:jc w:val="both"/>
        <w:rPr>
          <w:sz w:val="28"/>
          <w:szCs w:val="28"/>
          <w:shd w:val="clear" w:color="auto" w:fill="FFFFFF"/>
        </w:rPr>
      </w:pPr>
      <w:r>
        <w:rPr>
          <w:sz w:val="28"/>
          <w:szCs w:val="28"/>
          <w:shd w:val="clear" w:color="auto" w:fill="FFFFFF"/>
        </w:rPr>
        <w:t xml:space="preserve">При повторном обследовании </w:t>
      </w:r>
      <w:r w:rsidR="00CB1DE2">
        <w:rPr>
          <w:sz w:val="28"/>
          <w:szCs w:val="28"/>
          <w:shd w:val="clear" w:color="auto" w:fill="FFFFFF"/>
        </w:rPr>
        <w:t>Управляющая компания</w:t>
      </w:r>
      <w:r w:rsidR="00231831">
        <w:rPr>
          <w:sz w:val="28"/>
          <w:szCs w:val="28"/>
          <w:shd w:val="clear" w:color="auto" w:fill="FFFFFF"/>
        </w:rPr>
        <w:t xml:space="preserve">, </w:t>
      </w:r>
      <w:r>
        <w:rPr>
          <w:sz w:val="28"/>
          <w:szCs w:val="28"/>
          <w:shd w:val="clear" w:color="auto" w:fill="FFFFFF"/>
        </w:rPr>
        <w:t>обслуживающая данный дом</w:t>
      </w:r>
      <w:r w:rsidR="00313F99">
        <w:rPr>
          <w:sz w:val="28"/>
          <w:szCs w:val="28"/>
          <w:shd w:val="clear" w:color="auto" w:fill="FFFFFF"/>
        </w:rPr>
        <w:t>,</w:t>
      </w:r>
      <w:r>
        <w:rPr>
          <w:sz w:val="28"/>
          <w:szCs w:val="28"/>
          <w:shd w:val="clear" w:color="auto" w:fill="FFFFFF"/>
        </w:rPr>
        <w:t xml:space="preserve"> нарушения не устранила, в </w:t>
      </w:r>
      <w:proofErr w:type="gramStart"/>
      <w:r>
        <w:rPr>
          <w:sz w:val="28"/>
          <w:szCs w:val="28"/>
          <w:shd w:val="clear" w:color="auto" w:fill="FFFFFF"/>
        </w:rPr>
        <w:t>связи</w:t>
      </w:r>
      <w:proofErr w:type="gramEnd"/>
      <w:r>
        <w:rPr>
          <w:sz w:val="28"/>
          <w:szCs w:val="28"/>
          <w:shd w:val="clear" w:color="auto" w:fill="FFFFFF"/>
        </w:rPr>
        <w:t xml:space="preserve"> с чем подача газа не возобновилась.</w:t>
      </w:r>
    </w:p>
    <w:p w:rsidR="00647E55" w:rsidRDefault="00FB714C" w:rsidP="00A210D3">
      <w:pPr>
        <w:ind w:firstLine="567"/>
        <w:jc w:val="both"/>
        <w:rPr>
          <w:sz w:val="28"/>
          <w:szCs w:val="28"/>
          <w:shd w:val="clear" w:color="auto" w:fill="FFFFFF"/>
        </w:rPr>
      </w:pPr>
      <w:r>
        <w:rPr>
          <w:sz w:val="28"/>
          <w:szCs w:val="28"/>
          <w:shd w:val="clear" w:color="auto" w:fill="FFFFFF"/>
        </w:rPr>
        <w:t xml:space="preserve">Очередная проверка работ по устранению выявленных нарушений филиалом </w:t>
      </w:r>
      <w:r w:rsidRPr="00EA4876">
        <w:rPr>
          <w:sz w:val="28"/>
          <w:szCs w:val="28"/>
          <w:shd w:val="clear" w:color="auto" w:fill="FFFFFF"/>
        </w:rPr>
        <w:t>АО «Газпром газораспределение Тверь»</w:t>
      </w:r>
      <w:r>
        <w:rPr>
          <w:sz w:val="28"/>
          <w:szCs w:val="28"/>
          <w:shd w:val="clear" w:color="auto" w:fill="FFFFFF"/>
        </w:rPr>
        <w:t xml:space="preserve"> запланирована на 21.03.2022.</w:t>
      </w:r>
      <w:r w:rsidR="00647E55">
        <w:rPr>
          <w:sz w:val="28"/>
          <w:szCs w:val="28"/>
          <w:shd w:val="clear" w:color="auto" w:fill="FFFFFF"/>
        </w:rPr>
        <w:t xml:space="preserve">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831"/>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3F99"/>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520"/>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47E55"/>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2B05"/>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1DE2"/>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6108"/>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4876"/>
    <w:rsid w:val="00EA6B49"/>
    <w:rsid w:val="00EA6F1F"/>
    <w:rsid w:val="00EA7C2C"/>
    <w:rsid w:val="00EB1F6E"/>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7C61"/>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14C"/>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31296-52A5-48DF-A128-79364012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272</Words>
  <Characters>1555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154</cp:revision>
  <cp:lastPrinted>2022-03-18T16:52:00Z</cp:lastPrinted>
  <dcterms:created xsi:type="dcterms:W3CDTF">2021-07-07T16:30:00Z</dcterms:created>
  <dcterms:modified xsi:type="dcterms:W3CDTF">2022-03-18T17:31:00Z</dcterms:modified>
</cp:coreProperties>
</file>