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91A" w:rsidRPr="00444BBE" w:rsidRDefault="00444BBE" w:rsidP="00444BBE">
      <w:pPr>
        <w:pStyle w:val="2"/>
        <w:shd w:val="clear" w:color="auto" w:fill="auto"/>
        <w:spacing w:after="0" w:line="240" w:lineRule="exact"/>
        <w:rPr>
          <w:sz w:val="32"/>
          <w:szCs w:val="32"/>
        </w:rPr>
      </w:pPr>
      <w:r>
        <w:rPr>
          <w:sz w:val="32"/>
          <w:szCs w:val="32"/>
        </w:rPr>
        <w:t>Информационная справка</w:t>
      </w:r>
    </w:p>
    <w:p w:rsidR="00444BBE" w:rsidRPr="00444BBE" w:rsidRDefault="0090456E" w:rsidP="00444BBE">
      <w:pPr>
        <w:pStyle w:val="2"/>
        <w:shd w:val="clear" w:color="auto" w:fill="auto"/>
        <w:spacing w:after="304" w:line="317" w:lineRule="exact"/>
        <w:ind w:left="40" w:right="60"/>
        <w:rPr>
          <w:sz w:val="32"/>
          <w:szCs w:val="32"/>
        </w:rPr>
      </w:pPr>
      <w:r w:rsidRPr="00444BBE">
        <w:rPr>
          <w:sz w:val="32"/>
          <w:szCs w:val="32"/>
        </w:rPr>
        <w:t xml:space="preserve">по делу № </w:t>
      </w:r>
      <w:r w:rsidR="00444BBE" w:rsidRPr="00444BBE">
        <w:rPr>
          <w:sz w:val="32"/>
          <w:szCs w:val="32"/>
        </w:rPr>
        <w:t>А66-19240</w:t>
      </w:r>
      <w:r w:rsidRPr="00444BBE">
        <w:rPr>
          <w:sz w:val="32"/>
          <w:szCs w:val="32"/>
        </w:rPr>
        <w:t>/2018</w:t>
      </w:r>
      <w:r w:rsidR="00CB376C">
        <w:rPr>
          <w:sz w:val="32"/>
          <w:szCs w:val="32"/>
        </w:rPr>
        <w:t xml:space="preserve">                                                                    </w:t>
      </w:r>
      <w:r w:rsidRPr="00444BBE">
        <w:rPr>
          <w:sz w:val="32"/>
          <w:szCs w:val="32"/>
        </w:rPr>
        <w:t>по иску ООО «</w:t>
      </w:r>
      <w:r w:rsidR="00444BBE" w:rsidRPr="00444BBE">
        <w:rPr>
          <w:sz w:val="32"/>
          <w:szCs w:val="32"/>
        </w:rPr>
        <w:t>ЖКХ</w:t>
      </w:r>
      <w:r w:rsidRPr="00444BBE">
        <w:rPr>
          <w:sz w:val="32"/>
          <w:szCs w:val="32"/>
        </w:rPr>
        <w:t>»</w:t>
      </w:r>
      <w:r w:rsidR="00444BBE" w:rsidRPr="00444BBE">
        <w:rPr>
          <w:sz w:val="32"/>
          <w:szCs w:val="32"/>
        </w:rPr>
        <w:t xml:space="preserve"> о взыскании с Тверской области 828</w:t>
      </w:r>
      <w:r w:rsidR="00CB376C">
        <w:rPr>
          <w:sz w:val="32"/>
          <w:szCs w:val="32"/>
        </w:rPr>
        <w:t xml:space="preserve"> тыс.</w:t>
      </w:r>
      <w:r w:rsidR="00444BBE" w:rsidRPr="00444BBE">
        <w:rPr>
          <w:sz w:val="32"/>
          <w:szCs w:val="32"/>
        </w:rPr>
        <w:t xml:space="preserve"> руб.</w:t>
      </w:r>
    </w:p>
    <w:p w:rsidR="00444BBE" w:rsidRDefault="00444BBE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>ООО «ЖКХ» обратилось в Арбитражный суд Тверской области с иском о взыскании с публично-правового образования – Тверской области в лице Министерства финансов Тверской области задолженности по субсидии в размере 828 856, 63 руб. при применении льготного тарифа на тепловую энергию, теплоноситель.</w:t>
      </w:r>
    </w:p>
    <w:p w:rsidR="00444BBE" w:rsidRDefault="0090456E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  <w:r w:rsidRPr="00444BBE">
        <w:rPr>
          <w:sz w:val="32"/>
          <w:szCs w:val="32"/>
        </w:rPr>
        <w:t xml:space="preserve">Решением </w:t>
      </w:r>
      <w:r w:rsidR="00444BBE">
        <w:rPr>
          <w:sz w:val="32"/>
          <w:szCs w:val="32"/>
        </w:rPr>
        <w:t xml:space="preserve">Арбитражного суда </w:t>
      </w:r>
      <w:r w:rsidRPr="00444BBE">
        <w:rPr>
          <w:sz w:val="32"/>
          <w:szCs w:val="32"/>
        </w:rPr>
        <w:t xml:space="preserve">Тверского областного от </w:t>
      </w:r>
      <w:r w:rsidR="00444BBE">
        <w:rPr>
          <w:sz w:val="32"/>
          <w:szCs w:val="32"/>
        </w:rPr>
        <w:t xml:space="preserve">12 февраля </w:t>
      </w:r>
      <w:r w:rsidRPr="00444BBE">
        <w:rPr>
          <w:sz w:val="32"/>
          <w:szCs w:val="32"/>
        </w:rPr>
        <w:t>201</w:t>
      </w:r>
      <w:r w:rsidR="00444BBE">
        <w:rPr>
          <w:sz w:val="32"/>
          <w:szCs w:val="32"/>
        </w:rPr>
        <w:t>9</w:t>
      </w:r>
      <w:r w:rsidRPr="00444BBE">
        <w:rPr>
          <w:sz w:val="32"/>
          <w:szCs w:val="32"/>
        </w:rPr>
        <w:t xml:space="preserve"> года отказано в удовлетворении иска </w:t>
      </w:r>
      <w:r w:rsidR="00444BBE">
        <w:rPr>
          <w:sz w:val="32"/>
          <w:szCs w:val="32"/>
        </w:rPr>
        <w:t>отказано.</w:t>
      </w:r>
    </w:p>
    <w:p w:rsidR="00444BBE" w:rsidRDefault="00444BBE" w:rsidP="00BB655B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>Постановлением Четырнадцатого арбитражного</w:t>
      </w:r>
      <w:r w:rsidR="00BB655B">
        <w:rPr>
          <w:sz w:val="32"/>
          <w:szCs w:val="32"/>
        </w:rPr>
        <w:t xml:space="preserve"> </w:t>
      </w:r>
      <w:r>
        <w:rPr>
          <w:sz w:val="32"/>
          <w:szCs w:val="32"/>
        </w:rPr>
        <w:t>а</w:t>
      </w:r>
      <w:r w:rsidR="00BB655B">
        <w:rPr>
          <w:sz w:val="32"/>
          <w:szCs w:val="32"/>
        </w:rPr>
        <w:t>пелляционного суда от 14 июня 2019 года решение Арбитражного суда Тверской области от 12 февраля 2019 года отменено, с Тверской области в лице Министерства финансов Тверской области взысканы 828 845,63 руб. «</w:t>
      </w:r>
      <w:proofErr w:type="spellStart"/>
      <w:r w:rsidR="00BB655B">
        <w:rPr>
          <w:sz w:val="32"/>
          <w:szCs w:val="32"/>
        </w:rPr>
        <w:t>межтарифной</w:t>
      </w:r>
      <w:proofErr w:type="spellEnd"/>
      <w:r w:rsidR="00BB655B">
        <w:rPr>
          <w:sz w:val="32"/>
          <w:szCs w:val="32"/>
        </w:rPr>
        <w:t>» разницы.</w:t>
      </w:r>
      <w:r w:rsidR="0090456E" w:rsidRPr="00444BBE">
        <w:rPr>
          <w:sz w:val="32"/>
          <w:szCs w:val="32"/>
        </w:rPr>
        <w:t xml:space="preserve"> </w:t>
      </w:r>
    </w:p>
    <w:p w:rsidR="000913C8" w:rsidRDefault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</w:p>
    <w:p w:rsidR="000913C8" w:rsidRPr="000913C8" w:rsidRDefault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i/>
          <w:sz w:val="32"/>
          <w:szCs w:val="32"/>
        </w:rPr>
      </w:pPr>
      <w:r w:rsidRPr="000913C8">
        <w:rPr>
          <w:i/>
          <w:sz w:val="32"/>
          <w:szCs w:val="32"/>
        </w:rPr>
        <w:t>Доводы Правительства Тверской области</w:t>
      </w:r>
    </w:p>
    <w:p w:rsidR="000913C8" w:rsidRDefault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</w:p>
    <w:p w:rsidR="000913C8" w:rsidRDefault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>Основанием к отказу в выплате субсидии явились:</w:t>
      </w:r>
    </w:p>
    <w:p w:rsidR="000913C8" w:rsidRDefault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нахождение организации в процедуре банкротства (данное основание </w:t>
      </w:r>
      <w:r w:rsidR="00CB376C">
        <w:rPr>
          <w:sz w:val="32"/>
          <w:szCs w:val="32"/>
        </w:rPr>
        <w:t xml:space="preserve">к отказу </w:t>
      </w:r>
      <w:r>
        <w:rPr>
          <w:sz w:val="32"/>
          <w:szCs w:val="32"/>
        </w:rPr>
        <w:t>прямо установлено в нормативном акте Правительства Тверской области о порядке выплаты субсидии);</w:t>
      </w:r>
    </w:p>
    <w:p w:rsidR="000913C8" w:rsidRDefault="000913C8" w:rsidP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несоблюдение организацией </w:t>
      </w:r>
      <w:r>
        <w:rPr>
          <w:sz w:val="32"/>
          <w:szCs w:val="32"/>
        </w:rPr>
        <w:t>установленного заявительного порядка реализации права на получение субсидий</w:t>
      </w:r>
      <w:r>
        <w:rPr>
          <w:sz w:val="32"/>
          <w:szCs w:val="32"/>
        </w:rPr>
        <w:t>.</w:t>
      </w:r>
    </w:p>
    <w:p w:rsidR="000913C8" w:rsidRDefault="000913C8" w:rsidP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</w:p>
    <w:p w:rsidR="000913C8" w:rsidRPr="000913C8" w:rsidRDefault="000913C8" w:rsidP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i/>
          <w:sz w:val="32"/>
          <w:szCs w:val="32"/>
        </w:rPr>
      </w:pPr>
      <w:r w:rsidRPr="000913C8">
        <w:rPr>
          <w:i/>
          <w:sz w:val="32"/>
          <w:szCs w:val="32"/>
        </w:rPr>
        <w:t>Закреплённые в судебном акте</w:t>
      </w:r>
      <w:r>
        <w:rPr>
          <w:i/>
          <w:sz w:val="32"/>
          <w:szCs w:val="32"/>
        </w:rPr>
        <w:t xml:space="preserve"> апелляционного суда</w:t>
      </w:r>
      <w:r w:rsidRPr="000913C8">
        <w:rPr>
          <w:i/>
          <w:sz w:val="32"/>
          <w:szCs w:val="32"/>
        </w:rPr>
        <w:t xml:space="preserve"> причины взыскания</w:t>
      </w:r>
    </w:p>
    <w:p w:rsidR="000913C8" w:rsidRDefault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</w:p>
    <w:p w:rsidR="00581DD3" w:rsidRDefault="000913C8">
      <w:pPr>
        <w:pStyle w:val="2"/>
        <w:shd w:val="clear" w:color="auto" w:fill="auto"/>
        <w:spacing w:after="0" w:line="312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BB655B">
        <w:rPr>
          <w:sz w:val="32"/>
          <w:szCs w:val="32"/>
        </w:rPr>
        <w:t xml:space="preserve"> </w:t>
      </w:r>
      <w:r w:rsidR="00CB376C" w:rsidRPr="00CB376C">
        <w:rPr>
          <w:b/>
          <w:sz w:val="32"/>
          <w:szCs w:val="32"/>
        </w:rPr>
        <w:t xml:space="preserve">нарушение </w:t>
      </w:r>
      <w:proofErr w:type="spellStart"/>
      <w:r w:rsidR="00CB376C" w:rsidRPr="00CB376C">
        <w:rPr>
          <w:b/>
          <w:sz w:val="32"/>
          <w:szCs w:val="32"/>
        </w:rPr>
        <w:t>ресурсоснабжающей</w:t>
      </w:r>
      <w:proofErr w:type="spellEnd"/>
      <w:r w:rsidR="00CB376C" w:rsidRPr="00CB376C">
        <w:rPr>
          <w:b/>
          <w:sz w:val="32"/>
          <w:szCs w:val="32"/>
        </w:rPr>
        <w:t xml:space="preserve"> организацией</w:t>
      </w:r>
      <w:r w:rsidR="00BB655B">
        <w:rPr>
          <w:sz w:val="32"/>
          <w:szCs w:val="32"/>
        </w:rPr>
        <w:t xml:space="preserve"> установленного законом </w:t>
      </w:r>
      <w:r w:rsidR="00BB655B" w:rsidRPr="00CB376C">
        <w:rPr>
          <w:b/>
          <w:sz w:val="32"/>
          <w:szCs w:val="32"/>
        </w:rPr>
        <w:t>механ</w:t>
      </w:r>
      <w:r w:rsidR="00581DD3" w:rsidRPr="00CB376C">
        <w:rPr>
          <w:b/>
          <w:sz w:val="32"/>
          <w:szCs w:val="32"/>
        </w:rPr>
        <w:t>и</w:t>
      </w:r>
      <w:r w:rsidR="00BB655B" w:rsidRPr="00CB376C">
        <w:rPr>
          <w:b/>
          <w:sz w:val="32"/>
          <w:szCs w:val="32"/>
        </w:rPr>
        <w:t>зма по возмещению</w:t>
      </w:r>
      <w:r w:rsidR="00BB655B">
        <w:rPr>
          <w:sz w:val="32"/>
          <w:szCs w:val="32"/>
        </w:rPr>
        <w:t xml:space="preserve"> неполученны</w:t>
      </w:r>
      <w:r w:rsidR="00581DD3">
        <w:rPr>
          <w:sz w:val="32"/>
          <w:szCs w:val="32"/>
        </w:rPr>
        <w:t>х</w:t>
      </w:r>
      <w:r w:rsidR="00BB655B">
        <w:rPr>
          <w:sz w:val="32"/>
          <w:szCs w:val="32"/>
        </w:rPr>
        <w:t xml:space="preserve"> </w:t>
      </w:r>
      <w:proofErr w:type="gramStart"/>
      <w:r w:rsidR="00BB655B">
        <w:rPr>
          <w:sz w:val="32"/>
          <w:szCs w:val="32"/>
        </w:rPr>
        <w:t xml:space="preserve">доходов </w:t>
      </w:r>
      <w:r w:rsidR="00CB376C">
        <w:rPr>
          <w:sz w:val="32"/>
          <w:szCs w:val="32"/>
        </w:rPr>
        <w:t xml:space="preserve"> при</w:t>
      </w:r>
      <w:proofErr w:type="gramEnd"/>
      <w:r w:rsidR="00BB655B">
        <w:rPr>
          <w:sz w:val="32"/>
          <w:szCs w:val="32"/>
        </w:rPr>
        <w:t xml:space="preserve"> </w:t>
      </w:r>
      <w:r w:rsidR="00581DD3">
        <w:rPr>
          <w:sz w:val="32"/>
          <w:szCs w:val="32"/>
        </w:rPr>
        <w:t>о</w:t>
      </w:r>
      <w:r w:rsidR="00BB655B">
        <w:rPr>
          <w:sz w:val="32"/>
          <w:szCs w:val="32"/>
        </w:rPr>
        <w:t>каз</w:t>
      </w:r>
      <w:r w:rsidR="00CB376C">
        <w:rPr>
          <w:sz w:val="32"/>
          <w:szCs w:val="32"/>
        </w:rPr>
        <w:t>ании</w:t>
      </w:r>
      <w:r w:rsidR="00BB655B">
        <w:rPr>
          <w:sz w:val="32"/>
          <w:szCs w:val="32"/>
        </w:rPr>
        <w:t xml:space="preserve"> услуг по льготному тари</w:t>
      </w:r>
      <w:r w:rsidR="00581DD3">
        <w:rPr>
          <w:sz w:val="32"/>
          <w:szCs w:val="32"/>
        </w:rPr>
        <w:t>ф</w:t>
      </w:r>
      <w:r w:rsidR="00BB655B">
        <w:rPr>
          <w:sz w:val="32"/>
          <w:szCs w:val="32"/>
        </w:rPr>
        <w:t xml:space="preserve">у, </w:t>
      </w:r>
      <w:r w:rsidR="00BB655B" w:rsidRPr="00CB376C">
        <w:rPr>
          <w:b/>
          <w:sz w:val="32"/>
          <w:szCs w:val="32"/>
        </w:rPr>
        <w:t>не лишает</w:t>
      </w:r>
      <w:r w:rsidR="00BB655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организацию </w:t>
      </w:r>
      <w:r w:rsidR="00BB655B" w:rsidRPr="00CB376C">
        <w:rPr>
          <w:b/>
          <w:sz w:val="32"/>
          <w:szCs w:val="32"/>
        </w:rPr>
        <w:t>права на взыскание убытко</w:t>
      </w:r>
      <w:r w:rsidR="00581DD3" w:rsidRPr="00CB376C">
        <w:rPr>
          <w:b/>
          <w:sz w:val="32"/>
          <w:szCs w:val="32"/>
        </w:rPr>
        <w:t>в</w:t>
      </w:r>
      <w:r w:rsidR="00BB655B">
        <w:rPr>
          <w:sz w:val="32"/>
          <w:szCs w:val="32"/>
        </w:rPr>
        <w:t>, поскольку</w:t>
      </w:r>
      <w:r w:rsidR="00581DD3">
        <w:rPr>
          <w:sz w:val="32"/>
          <w:szCs w:val="32"/>
        </w:rPr>
        <w:t>,</w:t>
      </w:r>
      <w:r w:rsidR="00BB655B">
        <w:rPr>
          <w:sz w:val="32"/>
          <w:szCs w:val="32"/>
        </w:rPr>
        <w:t xml:space="preserve"> в данном случае</w:t>
      </w:r>
      <w:r w:rsidR="00581DD3">
        <w:rPr>
          <w:sz w:val="32"/>
          <w:szCs w:val="32"/>
        </w:rPr>
        <w:t>,</w:t>
      </w:r>
      <w:r w:rsidR="00BB655B">
        <w:rPr>
          <w:sz w:val="32"/>
          <w:szCs w:val="32"/>
        </w:rPr>
        <w:t xml:space="preserve"> организация требует взыскания в свою пользу </w:t>
      </w:r>
      <w:r w:rsidR="00581DD3">
        <w:rPr>
          <w:sz w:val="32"/>
          <w:szCs w:val="32"/>
        </w:rPr>
        <w:t xml:space="preserve">фактических </w:t>
      </w:r>
      <w:r w:rsidR="00BB655B">
        <w:rPr>
          <w:sz w:val="32"/>
          <w:szCs w:val="32"/>
        </w:rPr>
        <w:t>уб</w:t>
      </w:r>
      <w:r w:rsidR="00581DD3">
        <w:rPr>
          <w:sz w:val="32"/>
          <w:szCs w:val="32"/>
        </w:rPr>
        <w:t>ы</w:t>
      </w:r>
      <w:r w:rsidR="00BB655B">
        <w:rPr>
          <w:sz w:val="32"/>
          <w:szCs w:val="32"/>
        </w:rPr>
        <w:t>тков, выз</w:t>
      </w:r>
      <w:r w:rsidR="00581DD3">
        <w:rPr>
          <w:sz w:val="32"/>
          <w:szCs w:val="32"/>
        </w:rPr>
        <w:t>ванных «</w:t>
      </w:r>
      <w:proofErr w:type="spellStart"/>
      <w:r w:rsidR="00581DD3">
        <w:rPr>
          <w:sz w:val="32"/>
          <w:szCs w:val="32"/>
        </w:rPr>
        <w:t>межтарифной</w:t>
      </w:r>
      <w:proofErr w:type="spellEnd"/>
      <w:r w:rsidR="00581DD3">
        <w:rPr>
          <w:sz w:val="32"/>
          <w:szCs w:val="32"/>
        </w:rPr>
        <w:t>» разницей.</w:t>
      </w:r>
    </w:p>
    <w:p w:rsidR="00FA0EB9" w:rsidRDefault="00FA0EB9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</w:p>
    <w:p w:rsidR="006744DC" w:rsidRPr="000913C8" w:rsidRDefault="000913C8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i/>
          <w:sz w:val="32"/>
          <w:szCs w:val="32"/>
        </w:rPr>
      </w:pPr>
      <w:r w:rsidRPr="000913C8">
        <w:rPr>
          <w:i/>
          <w:sz w:val="32"/>
          <w:szCs w:val="32"/>
        </w:rPr>
        <w:t>Дальнейшее обжалование</w:t>
      </w:r>
    </w:p>
    <w:p w:rsidR="000913C8" w:rsidRDefault="000913C8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</w:p>
    <w:p w:rsidR="006744DC" w:rsidRDefault="006744DC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>Постановление Четырнадцатого арбитражного апелляционного суда от 14.06.2019 было обжаловано в кассационном порядке</w:t>
      </w:r>
      <w:r w:rsidR="000913C8">
        <w:rPr>
          <w:sz w:val="32"/>
          <w:szCs w:val="32"/>
        </w:rPr>
        <w:t xml:space="preserve">, однако </w:t>
      </w:r>
      <w:r>
        <w:rPr>
          <w:sz w:val="32"/>
          <w:szCs w:val="32"/>
        </w:rPr>
        <w:t xml:space="preserve">Постановлением Арбитражного суда Северо-Западного округа от 19.09.2019 </w:t>
      </w:r>
      <w:r w:rsidR="00D04B20">
        <w:rPr>
          <w:sz w:val="32"/>
          <w:szCs w:val="32"/>
        </w:rPr>
        <w:t>кассационн</w:t>
      </w:r>
      <w:r w:rsidR="000913C8">
        <w:rPr>
          <w:sz w:val="32"/>
          <w:szCs w:val="32"/>
        </w:rPr>
        <w:t>ая</w:t>
      </w:r>
      <w:r w:rsidR="00D04B20">
        <w:rPr>
          <w:sz w:val="32"/>
          <w:szCs w:val="32"/>
        </w:rPr>
        <w:t xml:space="preserve"> жалоб</w:t>
      </w:r>
      <w:r w:rsidR="000913C8">
        <w:rPr>
          <w:sz w:val="32"/>
          <w:szCs w:val="32"/>
        </w:rPr>
        <w:t>а</w:t>
      </w:r>
      <w:r w:rsidR="00D04B20">
        <w:rPr>
          <w:sz w:val="32"/>
          <w:szCs w:val="32"/>
        </w:rPr>
        <w:t xml:space="preserve"> </w:t>
      </w:r>
      <w:r w:rsidR="000913C8">
        <w:rPr>
          <w:sz w:val="32"/>
          <w:szCs w:val="32"/>
        </w:rPr>
        <w:t>Правительства</w:t>
      </w:r>
      <w:r>
        <w:rPr>
          <w:sz w:val="32"/>
          <w:szCs w:val="32"/>
        </w:rPr>
        <w:t xml:space="preserve"> Тверской области оставлен</w:t>
      </w:r>
      <w:r w:rsidR="000913C8">
        <w:rPr>
          <w:sz w:val="32"/>
          <w:szCs w:val="32"/>
        </w:rPr>
        <w:t>а</w:t>
      </w:r>
      <w:r>
        <w:rPr>
          <w:sz w:val="32"/>
          <w:szCs w:val="32"/>
        </w:rPr>
        <w:t xml:space="preserve"> без удовлетворения.</w:t>
      </w:r>
    </w:p>
    <w:p w:rsidR="006744DC" w:rsidRDefault="006744DC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Правительством Тверской области, Министерством финансов Тверской области </w:t>
      </w:r>
      <w:r w:rsidR="00B91101">
        <w:rPr>
          <w:sz w:val="32"/>
          <w:szCs w:val="32"/>
        </w:rPr>
        <w:t xml:space="preserve">были </w:t>
      </w:r>
      <w:r>
        <w:rPr>
          <w:sz w:val="32"/>
          <w:szCs w:val="32"/>
        </w:rPr>
        <w:t xml:space="preserve">поданы кассационные жалобы в Верховный Суд Российской Федерации. </w:t>
      </w:r>
    </w:p>
    <w:p w:rsidR="006744DC" w:rsidRDefault="00B91101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Определением судьи </w:t>
      </w:r>
      <w:r w:rsidR="006744DC">
        <w:rPr>
          <w:sz w:val="32"/>
          <w:szCs w:val="32"/>
        </w:rPr>
        <w:t>Верховного Суда Российской Федерации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Кирейковой</w:t>
      </w:r>
      <w:proofErr w:type="spellEnd"/>
      <w:r>
        <w:rPr>
          <w:sz w:val="32"/>
          <w:szCs w:val="32"/>
        </w:rPr>
        <w:t xml:space="preserve"> Г.Г. от 09.12.2019 Правительству Тверской области и Министерству финансов Тверской области отказано в передаче кассационных жалоб для рассмотрения в </w:t>
      </w:r>
      <w:r w:rsidR="006744DC">
        <w:rPr>
          <w:sz w:val="32"/>
          <w:szCs w:val="32"/>
        </w:rPr>
        <w:t>судебном заседании Судебн</w:t>
      </w:r>
      <w:r>
        <w:rPr>
          <w:sz w:val="32"/>
          <w:szCs w:val="32"/>
        </w:rPr>
        <w:t>ой</w:t>
      </w:r>
      <w:r w:rsidR="006744DC">
        <w:rPr>
          <w:sz w:val="32"/>
          <w:szCs w:val="32"/>
        </w:rPr>
        <w:t xml:space="preserve"> </w:t>
      </w:r>
      <w:r w:rsidR="007408E0">
        <w:rPr>
          <w:sz w:val="32"/>
          <w:szCs w:val="32"/>
        </w:rPr>
        <w:t>к</w:t>
      </w:r>
      <w:r w:rsidR="006744DC">
        <w:rPr>
          <w:sz w:val="32"/>
          <w:szCs w:val="32"/>
        </w:rPr>
        <w:t>оллеги</w:t>
      </w:r>
      <w:r>
        <w:rPr>
          <w:sz w:val="32"/>
          <w:szCs w:val="32"/>
        </w:rPr>
        <w:t>и</w:t>
      </w:r>
      <w:r w:rsidR="006744DC">
        <w:rPr>
          <w:sz w:val="32"/>
          <w:szCs w:val="32"/>
        </w:rPr>
        <w:t xml:space="preserve"> по экономическим спорам Верховного Суда Российской Федерации</w:t>
      </w:r>
      <w:r>
        <w:rPr>
          <w:sz w:val="32"/>
          <w:szCs w:val="32"/>
        </w:rPr>
        <w:t xml:space="preserve">. </w:t>
      </w:r>
    </w:p>
    <w:p w:rsidR="00CB376C" w:rsidRDefault="00CB376C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</w:p>
    <w:p w:rsidR="00B91101" w:rsidRDefault="00B91101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На указанное определение судьи Верховного Суда Российской Федерации </w:t>
      </w:r>
      <w:r w:rsidRPr="00CB376C">
        <w:rPr>
          <w:b/>
          <w:sz w:val="32"/>
          <w:szCs w:val="32"/>
        </w:rPr>
        <w:t>18.12.2019</w:t>
      </w:r>
      <w:r>
        <w:rPr>
          <w:sz w:val="32"/>
          <w:szCs w:val="32"/>
        </w:rPr>
        <w:t xml:space="preserve"> Правительством Тверской области подана жалоба</w:t>
      </w:r>
      <w:r w:rsidR="00CB376C">
        <w:rPr>
          <w:sz w:val="32"/>
          <w:szCs w:val="32"/>
        </w:rPr>
        <w:t xml:space="preserve"> на имя</w:t>
      </w:r>
      <w:r>
        <w:rPr>
          <w:sz w:val="32"/>
          <w:szCs w:val="32"/>
        </w:rPr>
        <w:t xml:space="preserve"> Председател</w:t>
      </w:r>
      <w:r w:rsidR="00CB376C">
        <w:rPr>
          <w:sz w:val="32"/>
          <w:szCs w:val="32"/>
        </w:rPr>
        <w:t>я</w:t>
      </w:r>
      <w:r>
        <w:rPr>
          <w:sz w:val="32"/>
          <w:szCs w:val="32"/>
        </w:rPr>
        <w:t xml:space="preserve"> Верховного Суда Российской Федерации. </w:t>
      </w:r>
    </w:p>
    <w:p w:rsidR="00CB376C" w:rsidRDefault="00CB376C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</w:p>
    <w:p w:rsidR="00B91101" w:rsidRDefault="00B91101" w:rsidP="00D04B20">
      <w:pPr>
        <w:pStyle w:val="2"/>
        <w:shd w:val="clear" w:color="auto" w:fill="auto"/>
        <w:spacing w:after="0" w:line="317" w:lineRule="exact"/>
        <w:ind w:left="40" w:right="6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B91101">
        <w:rPr>
          <w:sz w:val="32"/>
          <w:szCs w:val="32"/>
        </w:rPr>
        <w:t>Председатель Верховного Суда Российской Федерации</w:t>
      </w:r>
      <w:r w:rsidR="00CB376C">
        <w:rPr>
          <w:sz w:val="32"/>
          <w:szCs w:val="32"/>
        </w:rPr>
        <w:t xml:space="preserve"> (</w:t>
      </w:r>
      <w:r w:rsidRPr="00B91101">
        <w:rPr>
          <w:sz w:val="32"/>
          <w:szCs w:val="32"/>
        </w:rPr>
        <w:t>заместитель Председателя Верховного Суда Российской Федерации</w:t>
      </w:r>
      <w:r w:rsidR="00CB376C">
        <w:rPr>
          <w:sz w:val="32"/>
          <w:szCs w:val="32"/>
        </w:rPr>
        <w:t>)</w:t>
      </w:r>
      <w:r w:rsidRPr="00B91101">
        <w:rPr>
          <w:sz w:val="32"/>
          <w:szCs w:val="32"/>
        </w:rPr>
        <w:t xml:space="preserve"> вправе не согласиться с определением судьи Верховного Суда Российской Федерации и</w:t>
      </w:r>
      <w:r w:rsidR="00CB376C">
        <w:rPr>
          <w:sz w:val="32"/>
          <w:szCs w:val="32"/>
        </w:rPr>
        <w:t xml:space="preserve"> решить вопрос о</w:t>
      </w:r>
      <w:r w:rsidRPr="00B91101">
        <w:rPr>
          <w:sz w:val="32"/>
          <w:szCs w:val="32"/>
        </w:rPr>
        <w:t xml:space="preserve"> передаче кассационн</w:t>
      </w:r>
      <w:r>
        <w:rPr>
          <w:sz w:val="32"/>
          <w:szCs w:val="32"/>
        </w:rPr>
        <w:t>ой</w:t>
      </w:r>
      <w:r w:rsidRPr="00B91101">
        <w:rPr>
          <w:sz w:val="32"/>
          <w:szCs w:val="32"/>
        </w:rPr>
        <w:t xml:space="preserve"> жалобы для рассмотрения в Судебн</w:t>
      </w:r>
      <w:r w:rsidR="00CB376C">
        <w:rPr>
          <w:sz w:val="32"/>
          <w:szCs w:val="32"/>
        </w:rPr>
        <w:t>ую</w:t>
      </w:r>
      <w:r w:rsidRPr="00B91101">
        <w:rPr>
          <w:sz w:val="32"/>
          <w:szCs w:val="32"/>
        </w:rPr>
        <w:t xml:space="preserve"> коллеги</w:t>
      </w:r>
      <w:r w:rsidR="00CB376C">
        <w:rPr>
          <w:sz w:val="32"/>
          <w:szCs w:val="32"/>
        </w:rPr>
        <w:t>ю</w:t>
      </w:r>
      <w:bookmarkStart w:id="0" w:name="_GoBack"/>
      <w:bookmarkEnd w:id="0"/>
      <w:r w:rsidRPr="00B91101">
        <w:rPr>
          <w:sz w:val="32"/>
          <w:szCs w:val="32"/>
        </w:rPr>
        <w:t xml:space="preserve"> Верховного Суда Российской Федерации.</w:t>
      </w:r>
    </w:p>
    <w:sectPr w:rsidR="00B91101" w:rsidSect="00D3291A">
      <w:headerReference w:type="default" r:id="rId7"/>
      <w:pgSz w:w="11909" w:h="16838"/>
      <w:pgMar w:top="1370" w:right="1190" w:bottom="986" w:left="1214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F27" w:rsidRDefault="00922F27" w:rsidP="00D3291A">
      <w:r>
        <w:separator/>
      </w:r>
    </w:p>
  </w:endnote>
  <w:endnote w:type="continuationSeparator" w:id="0">
    <w:p w:rsidR="00922F27" w:rsidRDefault="00922F27" w:rsidP="00D32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F27" w:rsidRDefault="00922F27"/>
  </w:footnote>
  <w:footnote w:type="continuationSeparator" w:id="0">
    <w:p w:rsidR="00922F27" w:rsidRDefault="00922F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91A" w:rsidRDefault="00E8695D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3692525</wp:posOffset>
              </wp:positionH>
              <wp:positionV relativeFrom="page">
                <wp:posOffset>614045</wp:posOffset>
              </wp:positionV>
              <wp:extent cx="70485" cy="160655"/>
              <wp:effectExtent l="0" t="4445" r="254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291A" w:rsidRDefault="00785094">
                          <w:pPr>
                            <w:pStyle w:val="a6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7"/>
                              <w:noProof/>
                            </w:rPr>
                            <w:fldChar w:fldCharType="begin"/>
                          </w:r>
                          <w:r>
                            <w:rPr>
                              <w:rStyle w:val="a7"/>
                              <w:noProof/>
                            </w:rPr>
                            <w:instrText xml:space="preserve"> PAGE \* MERGEFORMAT </w:instrText>
                          </w:r>
                          <w:r>
                            <w:rPr>
                              <w:rStyle w:val="a7"/>
                              <w:noProof/>
                            </w:rPr>
                            <w:fldChar w:fldCharType="separate"/>
                          </w:r>
                          <w:r w:rsidR="00CB376C">
                            <w:rPr>
                              <w:rStyle w:val="a7"/>
                              <w:noProof/>
                            </w:rPr>
                            <w:t>2</w:t>
                          </w:r>
                          <w:r>
                            <w:rPr>
                              <w:rStyle w:val="a7"/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0.75pt;margin-top:48.35pt;width:5.55pt;height:12.65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SrJpgIAAKU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" filled="f" stroked="f">
              <v:textbox style="mso-fit-shape-to-text:t" inset="0,0,0,0">
                <w:txbxContent>
                  <w:p w:rsidR="00D3291A" w:rsidRDefault="00785094">
                    <w:pPr>
                      <w:pStyle w:val="a6"/>
                      <w:shd w:val="clear" w:color="auto" w:fill="auto"/>
                      <w:spacing w:line="240" w:lineRule="auto"/>
                    </w:pPr>
                    <w:r>
                      <w:rPr>
                        <w:rStyle w:val="a7"/>
                        <w:noProof/>
                      </w:rPr>
                      <w:fldChar w:fldCharType="begin"/>
                    </w:r>
                    <w:r>
                      <w:rPr>
                        <w:rStyle w:val="a7"/>
                        <w:noProof/>
                      </w:rPr>
                      <w:instrText xml:space="preserve"> PAGE \* MERGEFORMAT </w:instrText>
                    </w:r>
                    <w:r>
                      <w:rPr>
                        <w:rStyle w:val="a7"/>
                        <w:noProof/>
                      </w:rPr>
                      <w:fldChar w:fldCharType="separate"/>
                    </w:r>
                    <w:r w:rsidR="00CB376C">
                      <w:rPr>
                        <w:rStyle w:val="a7"/>
                        <w:noProof/>
                      </w:rPr>
                      <w:t>2</w:t>
                    </w:r>
                    <w:r>
                      <w:rPr>
                        <w:rStyle w:val="a7"/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74DF2"/>
    <w:multiLevelType w:val="multilevel"/>
    <w:tmpl w:val="B8122F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1A"/>
    <w:rsid w:val="000913C8"/>
    <w:rsid w:val="001C77AA"/>
    <w:rsid w:val="00417BBD"/>
    <w:rsid w:val="004347EA"/>
    <w:rsid w:val="00444BBE"/>
    <w:rsid w:val="004848D2"/>
    <w:rsid w:val="00581DD3"/>
    <w:rsid w:val="006744DC"/>
    <w:rsid w:val="007408E0"/>
    <w:rsid w:val="00785094"/>
    <w:rsid w:val="0090456E"/>
    <w:rsid w:val="00922F27"/>
    <w:rsid w:val="00B306AF"/>
    <w:rsid w:val="00B91101"/>
    <w:rsid w:val="00BB655B"/>
    <w:rsid w:val="00C171EC"/>
    <w:rsid w:val="00CB376C"/>
    <w:rsid w:val="00D04B20"/>
    <w:rsid w:val="00D3291A"/>
    <w:rsid w:val="00E8695D"/>
    <w:rsid w:val="00FA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F2EAA3"/>
  <w15:docId w15:val="{5855A7FA-5688-42D3-A033-6C822309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3291A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D3291A"/>
    <w:rPr>
      <w:color w:val="0066CC"/>
      <w:u w:val="single"/>
    </w:rPr>
  </w:style>
  <w:style w:type="character" w:customStyle="1" w:styleId="a4">
    <w:name w:val="Основной текст_"/>
    <w:basedOn w:val="a0"/>
    <w:link w:val="2"/>
    <w:rsid w:val="00D329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0pt">
    <w:name w:val="Основной текст + Интервал 0 pt"/>
    <w:basedOn w:val="a4"/>
    <w:rsid w:val="00D329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a5">
    <w:name w:val="Колонтитул_"/>
    <w:basedOn w:val="a0"/>
    <w:link w:val="a6"/>
    <w:rsid w:val="00D329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7">
    <w:name w:val="Колонтитул"/>
    <w:basedOn w:val="a5"/>
    <w:rsid w:val="00D329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8pt">
    <w:name w:val="Основной текст + 8 pt;Полужирный"/>
    <w:basedOn w:val="a4"/>
    <w:rsid w:val="00D3291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8pt0">
    <w:name w:val="Основной текст + 8 pt;Полужирный"/>
    <w:basedOn w:val="a4"/>
    <w:rsid w:val="00D3291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ru-RU" w:eastAsia="ru-RU" w:bidi="ru-RU"/>
    </w:rPr>
  </w:style>
  <w:style w:type="character" w:customStyle="1" w:styleId="1">
    <w:name w:val="Основной текст1"/>
    <w:basedOn w:val="a4"/>
    <w:rsid w:val="00D329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0">
    <w:name w:val="Основной текст (2)_"/>
    <w:basedOn w:val="a0"/>
    <w:link w:val="21"/>
    <w:rsid w:val="00D329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0"/>
      <w:u w:val="none"/>
    </w:rPr>
  </w:style>
  <w:style w:type="character" w:customStyle="1" w:styleId="20pt">
    <w:name w:val="Основной текст (2) + Интервал 0 pt"/>
    <w:basedOn w:val="20"/>
    <w:rsid w:val="00D3291A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2">
    <w:name w:val="Основной текст2"/>
    <w:basedOn w:val="a"/>
    <w:link w:val="a4"/>
    <w:rsid w:val="00D3291A"/>
    <w:pPr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</w:rPr>
  </w:style>
  <w:style w:type="paragraph" w:customStyle="1" w:styleId="a6">
    <w:name w:val="Колонтитул"/>
    <w:basedOn w:val="a"/>
    <w:link w:val="a5"/>
    <w:rsid w:val="00D3291A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1">
    <w:name w:val="Основной текст (2)"/>
    <w:basedOn w:val="a"/>
    <w:link w:val="20"/>
    <w:rsid w:val="00D3291A"/>
    <w:pPr>
      <w:shd w:val="clear" w:color="auto" w:fill="FFFFFF"/>
      <w:spacing w:line="317" w:lineRule="exact"/>
      <w:ind w:firstLine="660"/>
      <w:jc w:val="both"/>
    </w:pPr>
    <w:rPr>
      <w:rFonts w:ascii="Times New Roman" w:eastAsia="Times New Roman" w:hAnsi="Times New Roman" w:cs="Times New Roman"/>
      <w:spacing w:val="10"/>
    </w:rPr>
  </w:style>
  <w:style w:type="paragraph" w:styleId="a8">
    <w:name w:val="Balloon Text"/>
    <w:basedOn w:val="a"/>
    <w:link w:val="a9"/>
    <w:uiPriority w:val="99"/>
    <w:semiHidden/>
    <w:unhideWhenUsed/>
    <w:rsid w:val="007408E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408E0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orlgg</dc:creator>
  <cp:lastModifiedBy>Смялковский Павел Евгеньевич</cp:lastModifiedBy>
  <cp:revision>2</cp:revision>
  <cp:lastPrinted>2019-12-10T11:33:00Z</cp:lastPrinted>
  <dcterms:created xsi:type="dcterms:W3CDTF">2019-12-18T19:16:00Z</dcterms:created>
  <dcterms:modified xsi:type="dcterms:W3CDTF">2019-12-18T19:16:00Z</dcterms:modified>
</cp:coreProperties>
</file>