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4596" w:type="dxa"/>
        <w:tblLook w:val="04A0" w:firstRow="1" w:lastRow="0" w:firstColumn="1" w:lastColumn="0" w:noHBand="0" w:noVBand="1"/>
      </w:tblPr>
      <w:tblGrid>
        <w:gridCol w:w="2122"/>
        <w:gridCol w:w="3402"/>
        <w:gridCol w:w="9072"/>
      </w:tblGrid>
      <w:tr w:rsidR="00BB731E" w:rsidTr="007A5FA5">
        <w:tc>
          <w:tcPr>
            <w:tcW w:w="2122" w:type="dxa"/>
          </w:tcPr>
          <w:p w:rsidR="00BB731E" w:rsidRPr="00BB731E" w:rsidRDefault="00BB731E">
            <w:pPr>
              <w:rPr>
                <w:rFonts w:ascii="Times New Roman" w:hAnsi="Times New Roman" w:cs="Times New Roman"/>
                <w:sz w:val="28"/>
                <w:szCs w:val="28"/>
              </w:rPr>
            </w:pPr>
            <w:r w:rsidRPr="00BB731E">
              <w:rPr>
                <w:rFonts w:ascii="Times New Roman" w:hAnsi="Times New Roman" w:cs="Times New Roman"/>
                <w:sz w:val="28"/>
                <w:szCs w:val="28"/>
              </w:rPr>
              <w:t>ИОГВ</w:t>
            </w:r>
          </w:p>
        </w:tc>
        <w:tc>
          <w:tcPr>
            <w:tcW w:w="3402" w:type="dxa"/>
          </w:tcPr>
          <w:p w:rsidR="00BB731E" w:rsidRPr="00BB731E" w:rsidRDefault="00BB731E">
            <w:pPr>
              <w:rPr>
                <w:rFonts w:ascii="Times New Roman" w:hAnsi="Times New Roman" w:cs="Times New Roman"/>
                <w:sz w:val="28"/>
                <w:szCs w:val="28"/>
              </w:rPr>
            </w:pPr>
            <w:r w:rsidRPr="00BB731E">
              <w:rPr>
                <w:rFonts w:ascii="Times New Roman" w:hAnsi="Times New Roman" w:cs="Times New Roman"/>
                <w:sz w:val="28"/>
                <w:szCs w:val="28"/>
              </w:rPr>
              <w:t>Контактное лицо и телефон</w:t>
            </w:r>
          </w:p>
        </w:tc>
        <w:tc>
          <w:tcPr>
            <w:tcW w:w="9072" w:type="dxa"/>
          </w:tcPr>
          <w:p w:rsidR="00BB731E" w:rsidRPr="00BB731E" w:rsidRDefault="00BB731E">
            <w:pPr>
              <w:rPr>
                <w:rFonts w:ascii="Times New Roman" w:hAnsi="Times New Roman" w:cs="Times New Roman"/>
                <w:sz w:val="28"/>
                <w:szCs w:val="28"/>
              </w:rPr>
            </w:pPr>
            <w:r w:rsidRPr="00BB731E">
              <w:rPr>
                <w:rFonts w:ascii="Times New Roman" w:hAnsi="Times New Roman" w:cs="Times New Roman"/>
                <w:sz w:val="28"/>
                <w:szCs w:val="28"/>
              </w:rPr>
              <w:t>Статус</w:t>
            </w:r>
          </w:p>
        </w:tc>
      </w:tr>
      <w:tr w:rsidR="00BB731E" w:rsidTr="007A5FA5">
        <w:tc>
          <w:tcPr>
            <w:tcW w:w="2122" w:type="dxa"/>
          </w:tcPr>
          <w:p w:rsidR="00BB731E" w:rsidRPr="00BB731E" w:rsidRDefault="00BB731E">
            <w:pPr>
              <w:rPr>
                <w:rFonts w:ascii="Times New Roman" w:hAnsi="Times New Roman" w:cs="Times New Roman"/>
                <w:sz w:val="24"/>
                <w:szCs w:val="24"/>
              </w:rPr>
            </w:pPr>
            <w:r>
              <w:rPr>
                <w:rFonts w:ascii="Times New Roman" w:hAnsi="Times New Roman" w:cs="Times New Roman"/>
                <w:sz w:val="24"/>
                <w:szCs w:val="24"/>
              </w:rPr>
              <w:t>Министерство энергетики РФ</w:t>
            </w:r>
          </w:p>
        </w:tc>
        <w:tc>
          <w:tcPr>
            <w:tcW w:w="3402" w:type="dxa"/>
          </w:tcPr>
          <w:p w:rsidR="00BB731E" w:rsidRDefault="00BB731E">
            <w:pPr>
              <w:rPr>
                <w:rFonts w:ascii="Times New Roman" w:hAnsi="Times New Roman" w:cs="Times New Roman"/>
                <w:sz w:val="24"/>
                <w:szCs w:val="24"/>
              </w:rPr>
            </w:pPr>
            <w:r>
              <w:rPr>
                <w:rFonts w:ascii="Times New Roman" w:hAnsi="Times New Roman" w:cs="Times New Roman"/>
                <w:sz w:val="24"/>
                <w:szCs w:val="24"/>
              </w:rPr>
              <w:t xml:space="preserve">Ромащенко </w:t>
            </w:r>
            <w:proofErr w:type="spellStart"/>
            <w:r>
              <w:rPr>
                <w:rFonts w:ascii="Times New Roman" w:hAnsi="Times New Roman" w:cs="Times New Roman"/>
                <w:sz w:val="24"/>
                <w:szCs w:val="24"/>
              </w:rPr>
              <w:t>Раушан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Вакеновна</w:t>
            </w:r>
            <w:proofErr w:type="spellEnd"/>
            <w:r>
              <w:rPr>
                <w:rFonts w:ascii="Times New Roman" w:hAnsi="Times New Roman" w:cs="Times New Roman"/>
                <w:sz w:val="24"/>
                <w:szCs w:val="24"/>
              </w:rPr>
              <w:t xml:space="preserve">, департамент развития электроэнергетики. (495) 631-94-08, </w:t>
            </w:r>
          </w:p>
          <w:p w:rsidR="00BB731E" w:rsidRDefault="00BB731E">
            <w:pPr>
              <w:rPr>
                <w:rFonts w:ascii="Times New Roman" w:hAnsi="Times New Roman" w:cs="Times New Roman"/>
                <w:sz w:val="24"/>
                <w:szCs w:val="24"/>
              </w:rPr>
            </w:pPr>
            <w:r>
              <w:rPr>
                <w:rFonts w:ascii="Times New Roman" w:hAnsi="Times New Roman" w:cs="Times New Roman"/>
                <w:sz w:val="24"/>
                <w:szCs w:val="24"/>
              </w:rPr>
              <w:t>(495) 631-82-02</w:t>
            </w:r>
          </w:p>
          <w:p w:rsidR="004E02BA" w:rsidRPr="004E02BA" w:rsidRDefault="004E02BA">
            <w:pPr>
              <w:rPr>
                <w:rFonts w:ascii="Times New Roman" w:hAnsi="Times New Roman" w:cs="Times New Roman"/>
                <w:i/>
                <w:sz w:val="24"/>
                <w:szCs w:val="24"/>
              </w:rPr>
            </w:pPr>
            <w:r w:rsidRPr="004E02BA">
              <w:rPr>
                <w:rFonts w:ascii="Times New Roman" w:hAnsi="Times New Roman" w:cs="Times New Roman"/>
                <w:i/>
                <w:sz w:val="24"/>
                <w:szCs w:val="24"/>
              </w:rPr>
              <w:t>(</w:t>
            </w:r>
            <w:r>
              <w:rPr>
                <w:rFonts w:ascii="Times New Roman" w:hAnsi="Times New Roman" w:cs="Times New Roman"/>
                <w:i/>
                <w:sz w:val="24"/>
                <w:szCs w:val="24"/>
              </w:rPr>
              <w:t>раньше работала в ФСТ, не стала переходить в ФАС)</w:t>
            </w:r>
          </w:p>
        </w:tc>
        <w:tc>
          <w:tcPr>
            <w:tcW w:w="9072" w:type="dxa"/>
          </w:tcPr>
          <w:p w:rsidR="00BB731E" w:rsidRPr="00BB731E" w:rsidRDefault="007A5FA5">
            <w:pPr>
              <w:rPr>
                <w:rFonts w:ascii="Times New Roman" w:hAnsi="Times New Roman" w:cs="Times New Roman"/>
                <w:i/>
                <w:sz w:val="24"/>
                <w:szCs w:val="24"/>
              </w:rPr>
            </w:pPr>
            <w:proofErr w:type="spellStart"/>
            <w:r>
              <w:rPr>
                <w:rFonts w:ascii="Times New Roman" w:hAnsi="Times New Roman" w:cs="Times New Roman"/>
                <w:sz w:val="24"/>
                <w:szCs w:val="24"/>
              </w:rPr>
              <w:t>Вх</w:t>
            </w:r>
            <w:proofErr w:type="spellEnd"/>
            <w:r>
              <w:rPr>
                <w:rFonts w:ascii="Times New Roman" w:hAnsi="Times New Roman" w:cs="Times New Roman"/>
                <w:sz w:val="24"/>
                <w:szCs w:val="24"/>
              </w:rPr>
              <w:t xml:space="preserve">. АН-27304-7 от 14.06.2019. </w:t>
            </w:r>
            <w:r w:rsidR="00BB731E">
              <w:rPr>
                <w:rFonts w:ascii="Times New Roman" w:hAnsi="Times New Roman" w:cs="Times New Roman"/>
                <w:sz w:val="24"/>
                <w:szCs w:val="24"/>
              </w:rPr>
              <w:t>Направлены письмо в ФАС России о готовности рассмотреть растяжения графика поэтапного доведения до эталонной выручки</w:t>
            </w:r>
            <w:r w:rsidR="00BB731E" w:rsidRPr="00BB731E">
              <w:rPr>
                <w:rFonts w:ascii="Times New Roman" w:hAnsi="Times New Roman" w:cs="Times New Roman"/>
                <w:i/>
                <w:sz w:val="24"/>
                <w:szCs w:val="24"/>
              </w:rPr>
              <w:t>. (</w:t>
            </w:r>
            <w:r w:rsidR="00BB731E">
              <w:rPr>
                <w:rFonts w:ascii="Times New Roman" w:hAnsi="Times New Roman" w:cs="Times New Roman"/>
                <w:i/>
                <w:sz w:val="24"/>
                <w:szCs w:val="24"/>
              </w:rPr>
              <w:t xml:space="preserve">не формально </w:t>
            </w:r>
            <w:proofErr w:type="spellStart"/>
            <w:r w:rsidR="00BB731E">
              <w:rPr>
                <w:rFonts w:ascii="Times New Roman" w:hAnsi="Times New Roman" w:cs="Times New Roman"/>
                <w:i/>
                <w:sz w:val="24"/>
                <w:szCs w:val="24"/>
              </w:rPr>
              <w:t>МинЭнерго</w:t>
            </w:r>
            <w:proofErr w:type="spellEnd"/>
            <w:r w:rsidR="00BB731E">
              <w:rPr>
                <w:rFonts w:ascii="Times New Roman" w:hAnsi="Times New Roman" w:cs="Times New Roman"/>
                <w:i/>
                <w:sz w:val="24"/>
                <w:szCs w:val="24"/>
              </w:rPr>
              <w:t xml:space="preserve"> было против методики эталонов в сбытах, и не поддерживала ФАС России при формировании методики. </w:t>
            </w:r>
            <w:proofErr w:type="spellStart"/>
            <w:r w:rsidR="00BB731E">
              <w:rPr>
                <w:rFonts w:ascii="Times New Roman" w:hAnsi="Times New Roman" w:cs="Times New Roman"/>
                <w:i/>
                <w:sz w:val="24"/>
                <w:szCs w:val="24"/>
              </w:rPr>
              <w:t>МинЭнерго</w:t>
            </w:r>
            <w:proofErr w:type="spellEnd"/>
            <w:r w:rsidR="00BB731E">
              <w:rPr>
                <w:rFonts w:ascii="Times New Roman" w:hAnsi="Times New Roman" w:cs="Times New Roman"/>
                <w:i/>
                <w:sz w:val="24"/>
                <w:szCs w:val="24"/>
              </w:rPr>
              <w:t xml:space="preserve"> поддерживает </w:t>
            </w:r>
            <w:bookmarkStart w:id="0" w:name="_GoBack"/>
            <w:r w:rsidR="00BB731E">
              <w:rPr>
                <w:rFonts w:ascii="Times New Roman" w:hAnsi="Times New Roman" w:cs="Times New Roman"/>
                <w:i/>
                <w:sz w:val="24"/>
                <w:szCs w:val="24"/>
              </w:rPr>
              <w:t>нашу позицию</w:t>
            </w:r>
            <w:bookmarkEnd w:id="0"/>
            <w:r w:rsidR="00BB731E">
              <w:rPr>
                <w:rFonts w:ascii="Times New Roman" w:hAnsi="Times New Roman" w:cs="Times New Roman"/>
                <w:i/>
                <w:sz w:val="24"/>
                <w:szCs w:val="24"/>
              </w:rPr>
              <w:t>)</w:t>
            </w:r>
          </w:p>
        </w:tc>
      </w:tr>
      <w:tr w:rsidR="00BB731E" w:rsidTr="007A5FA5">
        <w:tc>
          <w:tcPr>
            <w:tcW w:w="2122" w:type="dxa"/>
          </w:tcPr>
          <w:p w:rsidR="00BB731E" w:rsidRPr="00BB731E" w:rsidRDefault="007A5FA5">
            <w:pPr>
              <w:rPr>
                <w:rFonts w:ascii="Times New Roman" w:hAnsi="Times New Roman" w:cs="Times New Roman"/>
                <w:sz w:val="24"/>
                <w:szCs w:val="24"/>
              </w:rPr>
            </w:pPr>
            <w:r>
              <w:rPr>
                <w:rFonts w:ascii="Times New Roman" w:hAnsi="Times New Roman" w:cs="Times New Roman"/>
                <w:sz w:val="24"/>
                <w:szCs w:val="24"/>
              </w:rPr>
              <w:t>ФАС России</w:t>
            </w:r>
          </w:p>
        </w:tc>
        <w:tc>
          <w:tcPr>
            <w:tcW w:w="3402" w:type="dxa"/>
          </w:tcPr>
          <w:p w:rsidR="00BB731E" w:rsidRPr="00332C7C" w:rsidRDefault="007A5FA5">
            <w:pPr>
              <w:rPr>
                <w:rFonts w:ascii="Times New Roman" w:hAnsi="Times New Roman" w:cs="Times New Roman"/>
                <w:sz w:val="24"/>
                <w:szCs w:val="24"/>
                <w:lang w:val="en-US"/>
              </w:rPr>
            </w:pPr>
            <w:proofErr w:type="spellStart"/>
            <w:r>
              <w:rPr>
                <w:rFonts w:ascii="Times New Roman" w:hAnsi="Times New Roman" w:cs="Times New Roman"/>
                <w:sz w:val="24"/>
                <w:szCs w:val="24"/>
              </w:rPr>
              <w:t>Танащук</w:t>
            </w:r>
            <w:proofErr w:type="spellEnd"/>
            <w:r>
              <w:rPr>
                <w:rFonts w:ascii="Times New Roman" w:hAnsi="Times New Roman" w:cs="Times New Roman"/>
                <w:sz w:val="24"/>
                <w:szCs w:val="24"/>
              </w:rPr>
              <w:t xml:space="preserve"> Екатерина Викторовна,</w:t>
            </w:r>
            <w:r w:rsidR="007C21E7">
              <w:rPr>
                <w:rFonts w:ascii="Times New Roman" w:hAnsi="Times New Roman" w:cs="Times New Roman"/>
                <w:sz w:val="24"/>
                <w:szCs w:val="24"/>
              </w:rPr>
              <w:t xml:space="preserve"> управление регулирования в электроэнергетике (управление </w:t>
            </w:r>
            <w:proofErr w:type="spellStart"/>
            <w:r w:rsidR="007C21E7">
              <w:rPr>
                <w:rFonts w:ascii="Times New Roman" w:hAnsi="Times New Roman" w:cs="Times New Roman"/>
                <w:sz w:val="24"/>
                <w:szCs w:val="24"/>
              </w:rPr>
              <w:t>Бедрина</w:t>
            </w:r>
            <w:proofErr w:type="spellEnd"/>
            <w:r w:rsidR="007C21E7">
              <w:rPr>
                <w:rFonts w:ascii="Times New Roman" w:hAnsi="Times New Roman" w:cs="Times New Roman"/>
                <w:sz w:val="24"/>
                <w:szCs w:val="24"/>
              </w:rPr>
              <w:t>)</w:t>
            </w:r>
          </w:p>
          <w:p w:rsidR="007A5FA5" w:rsidRDefault="007A5FA5">
            <w:pPr>
              <w:rPr>
                <w:rFonts w:ascii="Times New Roman" w:hAnsi="Times New Roman" w:cs="Times New Roman"/>
                <w:sz w:val="24"/>
                <w:szCs w:val="24"/>
              </w:rPr>
            </w:pPr>
            <w:r>
              <w:rPr>
                <w:rFonts w:ascii="Times New Roman" w:hAnsi="Times New Roman" w:cs="Times New Roman"/>
                <w:sz w:val="24"/>
                <w:szCs w:val="24"/>
              </w:rPr>
              <w:t>(499) 755-23-23</w:t>
            </w:r>
          </w:p>
          <w:p w:rsidR="007A5FA5" w:rsidRPr="00BB731E" w:rsidRDefault="007A5FA5">
            <w:pPr>
              <w:rPr>
                <w:rFonts w:ascii="Times New Roman" w:hAnsi="Times New Roman" w:cs="Times New Roman"/>
                <w:sz w:val="24"/>
                <w:szCs w:val="24"/>
              </w:rPr>
            </w:pPr>
            <w:r>
              <w:rPr>
                <w:rFonts w:ascii="Times New Roman" w:hAnsi="Times New Roman" w:cs="Times New Roman"/>
                <w:sz w:val="24"/>
                <w:szCs w:val="24"/>
              </w:rPr>
              <w:t>(</w:t>
            </w:r>
            <w:r w:rsidR="00332C7C">
              <w:rPr>
                <w:rFonts w:ascii="Times New Roman" w:hAnsi="Times New Roman" w:cs="Times New Roman"/>
                <w:sz w:val="24"/>
                <w:szCs w:val="24"/>
              </w:rPr>
              <w:t xml:space="preserve">доб. </w:t>
            </w:r>
            <w:r>
              <w:rPr>
                <w:rFonts w:ascii="Times New Roman" w:hAnsi="Times New Roman" w:cs="Times New Roman"/>
                <w:sz w:val="24"/>
                <w:szCs w:val="24"/>
              </w:rPr>
              <w:t>088-675)</w:t>
            </w:r>
          </w:p>
        </w:tc>
        <w:tc>
          <w:tcPr>
            <w:tcW w:w="9072" w:type="dxa"/>
          </w:tcPr>
          <w:p w:rsidR="00BB731E" w:rsidRDefault="007A5FA5">
            <w:pPr>
              <w:rPr>
                <w:rFonts w:ascii="Times New Roman" w:hAnsi="Times New Roman" w:cs="Times New Roman"/>
                <w:sz w:val="24"/>
                <w:szCs w:val="24"/>
              </w:rPr>
            </w:pPr>
            <w:proofErr w:type="spellStart"/>
            <w:r>
              <w:rPr>
                <w:rFonts w:ascii="Times New Roman" w:hAnsi="Times New Roman" w:cs="Times New Roman"/>
                <w:sz w:val="24"/>
                <w:szCs w:val="24"/>
              </w:rPr>
              <w:t>Вх</w:t>
            </w:r>
            <w:proofErr w:type="spellEnd"/>
            <w:r>
              <w:rPr>
                <w:rFonts w:ascii="Times New Roman" w:hAnsi="Times New Roman" w:cs="Times New Roman"/>
                <w:sz w:val="24"/>
                <w:szCs w:val="24"/>
              </w:rPr>
              <w:t>. 103049-ПРМ/19 от 17.06.2019</w:t>
            </w:r>
            <w:r w:rsidR="00866CF2">
              <w:rPr>
                <w:rFonts w:ascii="Times New Roman" w:hAnsi="Times New Roman" w:cs="Times New Roman"/>
                <w:sz w:val="24"/>
                <w:szCs w:val="24"/>
              </w:rPr>
              <w:t xml:space="preserve">. Направлен </w:t>
            </w:r>
            <w:r w:rsidR="007C21E7">
              <w:rPr>
                <w:rFonts w:ascii="Times New Roman" w:hAnsi="Times New Roman" w:cs="Times New Roman"/>
                <w:sz w:val="24"/>
                <w:szCs w:val="24"/>
              </w:rPr>
              <w:t xml:space="preserve">24.06.2019 </w:t>
            </w:r>
            <w:r w:rsidR="00866CF2">
              <w:rPr>
                <w:rFonts w:ascii="Times New Roman" w:hAnsi="Times New Roman" w:cs="Times New Roman"/>
                <w:sz w:val="24"/>
                <w:szCs w:val="24"/>
              </w:rPr>
              <w:t xml:space="preserve">доклад </w:t>
            </w:r>
            <w:r w:rsidR="007C21E7">
              <w:rPr>
                <w:rFonts w:ascii="Times New Roman" w:hAnsi="Times New Roman" w:cs="Times New Roman"/>
                <w:sz w:val="24"/>
                <w:szCs w:val="24"/>
              </w:rPr>
              <w:t xml:space="preserve">за подписью Артемьева И.Ю. </w:t>
            </w:r>
            <w:r w:rsidR="00866CF2">
              <w:rPr>
                <w:rFonts w:ascii="Times New Roman" w:hAnsi="Times New Roman" w:cs="Times New Roman"/>
                <w:sz w:val="24"/>
                <w:szCs w:val="24"/>
              </w:rPr>
              <w:t>в Правительство РФ о мерах по выходу из сложившейся ситуации. Предложены меры по:</w:t>
            </w:r>
          </w:p>
          <w:p w:rsidR="00866CF2" w:rsidRDefault="00866CF2">
            <w:pPr>
              <w:rPr>
                <w:rFonts w:ascii="Times New Roman" w:hAnsi="Times New Roman" w:cs="Times New Roman"/>
                <w:sz w:val="24"/>
                <w:szCs w:val="24"/>
              </w:rPr>
            </w:pPr>
            <w:r>
              <w:rPr>
                <w:rFonts w:ascii="Times New Roman" w:hAnsi="Times New Roman" w:cs="Times New Roman"/>
                <w:sz w:val="24"/>
                <w:szCs w:val="24"/>
              </w:rPr>
              <w:t xml:space="preserve">1) снижению (в плоть до нулевых значений) по договоренности с гарантирующим поставщиком статей «Резервы по сомнительным долгам», «расчетная предпринимательская прибыль» </w:t>
            </w:r>
            <w:r w:rsidRPr="00866CF2">
              <w:rPr>
                <w:rFonts w:ascii="Times New Roman" w:hAnsi="Times New Roman" w:cs="Times New Roman"/>
                <w:i/>
                <w:sz w:val="24"/>
                <w:szCs w:val="24"/>
              </w:rPr>
              <w:t>(</w:t>
            </w:r>
            <w:r>
              <w:rPr>
                <w:rFonts w:ascii="Times New Roman" w:hAnsi="Times New Roman" w:cs="Times New Roman"/>
                <w:i/>
                <w:sz w:val="24"/>
                <w:szCs w:val="24"/>
              </w:rPr>
              <w:t>предложени</w:t>
            </w:r>
            <w:r w:rsidR="007C21E7">
              <w:rPr>
                <w:rFonts w:ascii="Times New Roman" w:hAnsi="Times New Roman" w:cs="Times New Roman"/>
                <w:i/>
                <w:sz w:val="24"/>
                <w:szCs w:val="24"/>
              </w:rPr>
              <w:t>е</w:t>
            </w:r>
            <w:r>
              <w:rPr>
                <w:rFonts w:ascii="Times New Roman" w:hAnsi="Times New Roman" w:cs="Times New Roman"/>
                <w:i/>
                <w:sz w:val="24"/>
                <w:szCs w:val="24"/>
              </w:rPr>
              <w:t xml:space="preserve"> не</w:t>
            </w:r>
            <w:r w:rsidR="007C21E7">
              <w:rPr>
                <w:rFonts w:ascii="Times New Roman" w:hAnsi="Times New Roman" w:cs="Times New Roman"/>
                <w:i/>
                <w:sz w:val="24"/>
                <w:szCs w:val="24"/>
              </w:rPr>
              <w:t xml:space="preserve"> </w:t>
            </w:r>
            <w:r>
              <w:rPr>
                <w:rFonts w:ascii="Times New Roman" w:hAnsi="Times New Roman" w:cs="Times New Roman"/>
                <w:i/>
                <w:sz w:val="24"/>
                <w:szCs w:val="24"/>
              </w:rPr>
              <w:t>реалистичное</w:t>
            </w:r>
            <w:r w:rsidR="007C21E7">
              <w:rPr>
                <w:rFonts w:ascii="Times New Roman" w:hAnsi="Times New Roman" w:cs="Times New Roman"/>
                <w:i/>
                <w:sz w:val="24"/>
                <w:szCs w:val="24"/>
              </w:rPr>
              <w:t>,</w:t>
            </w:r>
            <w:r>
              <w:rPr>
                <w:rFonts w:ascii="Times New Roman" w:hAnsi="Times New Roman" w:cs="Times New Roman"/>
                <w:i/>
                <w:sz w:val="24"/>
                <w:szCs w:val="24"/>
              </w:rPr>
              <w:t xml:space="preserve"> ГП на это не пойдут, в одностороннем порядке регулятор не может это сде</w:t>
            </w:r>
            <w:r w:rsidR="007C21E7">
              <w:rPr>
                <w:rFonts w:ascii="Times New Roman" w:hAnsi="Times New Roman" w:cs="Times New Roman"/>
                <w:i/>
                <w:sz w:val="24"/>
                <w:szCs w:val="24"/>
              </w:rPr>
              <w:t>лать</w:t>
            </w:r>
            <w:r>
              <w:rPr>
                <w:rFonts w:ascii="Times New Roman" w:hAnsi="Times New Roman" w:cs="Times New Roman"/>
                <w:i/>
                <w:sz w:val="24"/>
                <w:szCs w:val="24"/>
              </w:rPr>
              <w:t xml:space="preserve"> потому</w:t>
            </w:r>
            <w:r w:rsidR="007C21E7">
              <w:rPr>
                <w:rFonts w:ascii="Times New Roman" w:hAnsi="Times New Roman" w:cs="Times New Roman"/>
                <w:i/>
                <w:sz w:val="24"/>
                <w:szCs w:val="24"/>
              </w:rPr>
              <w:t>,</w:t>
            </w:r>
            <w:r>
              <w:rPr>
                <w:rFonts w:ascii="Times New Roman" w:hAnsi="Times New Roman" w:cs="Times New Roman"/>
                <w:i/>
                <w:sz w:val="24"/>
                <w:szCs w:val="24"/>
              </w:rPr>
              <w:t xml:space="preserve"> что отсутствуют правовые основания)</w:t>
            </w:r>
          </w:p>
          <w:p w:rsidR="00866CF2" w:rsidRDefault="00866CF2">
            <w:pPr>
              <w:rPr>
                <w:rFonts w:ascii="Times New Roman" w:hAnsi="Times New Roman" w:cs="Times New Roman"/>
                <w:sz w:val="24"/>
                <w:szCs w:val="24"/>
              </w:rPr>
            </w:pPr>
            <w:r>
              <w:rPr>
                <w:rFonts w:ascii="Times New Roman" w:hAnsi="Times New Roman" w:cs="Times New Roman"/>
                <w:sz w:val="24"/>
                <w:szCs w:val="24"/>
              </w:rPr>
              <w:t xml:space="preserve">2) упразднению зоны второго гарантирующего поставщика </w:t>
            </w:r>
            <w:r w:rsidRPr="00866CF2">
              <w:rPr>
                <w:rFonts w:ascii="Times New Roman" w:hAnsi="Times New Roman" w:cs="Times New Roman"/>
                <w:i/>
                <w:sz w:val="24"/>
                <w:szCs w:val="24"/>
              </w:rPr>
              <w:t>(</w:t>
            </w:r>
            <w:r>
              <w:rPr>
                <w:rFonts w:ascii="Times New Roman" w:hAnsi="Times New Roman" w:cs="Times New Roman"/>
                <w:i/>
                <w:sz w:val="24"/>
                <w:szCs w:val="24"/>
              </w:rPr>
              <w:t>полномочия Министерства Энергетики РФ, документ о внесении изменений в порядок определения гарантирующего поставщика проходит согласования ФАИВ)</w:t>
            </w:r>
          </w:p>
          <w:p w:rsidR="00866CF2" w:rsidRDefault="00866CF2" w:rsidP="00866CF2">
            <w:pPr>
              <w:rPr>
                <w:rFonts w:ascii="Times New Roman" w:hAnsi="Times New Roman" w:cs="Times New Roman"/>
                <w:i/>
                <w:sz w:val="24"/>
                <w:szCs w:val="24"/>
              </w:rPr>
            </w:pPr>
            <w:r>
              <w:rPr>
                <w:rFonts w:ascii="Times New Roman" w:hAnsi="Times New Roman" w:cs="Times New Roman"/>
                <w:sz w:val="24"/>
                <w:szCs w:val="24"/>
              </w:rPr>
              <w:t xml:space="preserve">3) снижению количество точек поставки </w:t>
            </w:r>
            <w:r w:rsidRPr="00866CF2">
              <w:rPr>
                <w:rFonts w:ascii="Times New Roman" w:hAnsi="Times New Roman" w:cs="Times New Roman"/>
                <w:i/>
                <w:sz w:val="24"/>
                <w:szCs w:val="24"/>
              </w:rPr>
              <w:t>(</w:t>
            </w:r>
            <w:r>
              <w:rPr>
                <w:rFonts w:ascii="Times New Roman" w:hAnsi="Times New Roman" w:cs="Times New Roman"/>
                <w:i/>
                <w:sz w:val="24"/>
                <w:szCs w:val="24"/>
              </w:rPr>
              <w:t>Все точки поставки выверены совместно с ОП «</w:t>
            </w:r>
            <w:proofErr w:type="spellStart"/>
            <w:r>
              <w:rPr>
                <w:rFonts w:ascii="Times New Roman" w:hAnsi="Times New Roman" w:cs="Times New Roman"/>
                <w:i/>
                <w:sz w:val="24"/>
                <w:szCs w:val="24"/>
              </w:rPr>
              <w:t>ТверьАтомЭнергоСбыт</w:t>
            </w:r>
            <w:proofErr w:type="spellEnd"/>
            <w:r>
              <w:rPr>
                <w:rFonts w:ascii="Times New Roman" w:hAnsi="Times New Roman" w:cs="Times New Roman"/>
                <w:i/>
                <w:sz w:val="24"/>
                <w:szCs w:val="24"/>
              </w:rPr>
              <w:t>», на все точки поставки имеются акты подписанные сетевой организацией и ГП)</w:t>
            </w:r>
          </w:p>
          <w:p w:rsidR="007C21E7" w:rsidRDefault="00866CF2" w:rsidP="00866CF2">
            <w:pPr>
              <w:rPr>
                <w:rFonts w:ascii="Times New Roman" w:hAnsi="Times New Roman" w:cs="Times New Roman"/>
                <w:i/>
                <w:sz w:val="24"/>
                <w:szCs w:val="24"/>
              </w:rPr>
            </w:pPr>
            <w:r w:rsidRPr="00866CF2">
              <w:rPr>
                <w:rFonts w:ascii="Times New Roman" w:hAnsi="Times New Roman" w:cs="Times New Roman"/>
                <w:sz w:val="24"/>
                <w:szCs w:val="24"/>
              </w:rPr>
              <w:t>4)</w:t>
            </w:r>
            <w:r>
              <w:rPr>
                <w:rFonts w:ascii="Times New Roman" w:hAnsi="Times New Roman" w:cs="Times New Roman"/>
                <w:sz w:val="24"/>
                <w:szCs w:val="24"/>
              </w:rPr>
              <w:t xml:space="preserve"> растяжение графика поэтапного доведения выручки до эталонной на больший период </w:t>
            </w:r>
            <w:r w:rsidRPr="00866CF2">
              <w:rPr>
                <w:rFonts w:ascii="Times New Roman" w:hAnsi="Times New Roman" w:cs="Times New Roman"/>
                <w:i/>
                <w:sz w:val="24"/>
                <w:szCs w:val="24"/>
              </w:rPr>
              <w:t>(</w:t>
            </w:r>
            <w:r>
              <w:rPr>
                <w:rFonts w:ascii="Times New Roman" w:hAnsi="Times New Roman" w:cs="Times New Roman"/>
                <w:i/>
                <w:sz w:val="24"/>
                <w:szCs w:val="24"/>
              </w:rPr>
              <w:t>это именно то, что мы и просили</w:t>
            </w:r>
            <w:r w:rsidR="007C21E7">
              <w:rPr>
                <w:rFonts w:ascii="Times New Roman" w:hAnsi="Times New Roman" w:cs="Times New Roman"/>
                <w:i/>
                <w:sz w:val="24"/>
                <w:szCs w:val="24"/>
              </w:rPr>
              <w:t>)</w:t>
            </w:r>
          </w:p>
          <w:p w:rsidR="007C21E7" w:rsidRDefault="007C21E7" w:rsidP="00866CF2">
            <w:pPr>
              <w:rPr>
                <w:rFonts w:ascii="Times New Roman" w:hAnsi="Times New Roman" w:cs="Times New Roman"/>
                <w:sz w:val="24"/>
                <w:szCs w:val="24"/>
              </w:rPr>
            </w:pPr>
          </w:p>
          <w:p w:rsidR="007C21E7" w:rsidRPr="007C21E7" w:rsidRDefault="007C21E7" w:rsidP="00866CF2">
            <w:pPr>
              <w:rPr>
                <w:rFonts w:ascii="Times New Roman" w:hAnsi="Times New Roman" w:cs="Times New Roman"/>
                <w:b/>
                <w:i/>
                <w:sz w:val="24"/>
                <w:szCs w:val="24"/>
              </w:rPr>
            </w:pPr>
            <w:r w:rsidRPr="007C21E7">
              <w:rPr>
                <w:rFonts w:ascii="Times New Roman" w:hAnsi="Times New Roman" w:cs="Times New Roman"/>
                <w:b/>
                <w:i/>
                <w:sz w:val="24"/>
                <w:szCs w:val="24"/>
              </w:rPr>
              <w:t>Документ ДСП, переслать отказались, но с основными тезисами ознакомили. Решение будет приниматься на усмотрение Правительства РФ.</w:t>
            </w:r>
          </w:p>
        </w:tc>
      </w:tr>
      <w:tr w:rsidR="00BB731E" w:rsidTr="007A5FA5">
        <w:tc>
          <w:tcPr>
            <w:tcW w:w="2122" w:type="dxa"/>
          </w:tcPr>
          <w:p w:rsidR="00BB731E" w:rsidRPr="004E02BA" w:rsidRDefault="004E02BA">
            <w:pPr>
              <w:rPr>
                <w:rFonts w:ascii="Times New Roman" w:hAnsi="Times New Roman" w:cs="Times New Roman"/>
                <w:sz w:val="24"/>
                <w:szCs w:val="24"/>
              </w:rPr>
            </w:pPr>
            <w:r>
              <w:rPr>
                <w:rFonts w:ascii="Times New Roman" w:hAnsi="Times New Roman" w:cs="Times New Roman"/>
                <w:sz w:val="24"/>
                <w:szCs w:val="24"/>
              </w:rPr>
              <w:t>Министерство экономического развития РФ</w:t>
            </w:r>
          </w:p>
        </w:tc>
        <w:tc>
          <w:tcPr>
            <w:tcW w:w="3402" w:type="dxa"/>
          </w:tcPr>
          <w:p w:rsidR="00BB731E" w:rsidRDefault="00332C7C">
            <w:pPr>
              <w:rPr>
                <w:rFonts w:ascii="Times New Roman" w:hAnsi="Times New Roman" w:cs="Times New Roman"/>
                <w:sz w:val="24"/>
                <w:szCs w:val="24"/>
              </w:rPr>
            </w:pPr>
            <w:proofErr w:type="spellStart"/>
            <w:r>
              <w:rPr>
                <w:rFonts w:ascii="Times New Roman" w:hAnsi="Times New Roman" w:cs="Times New Roman"/>
                <w:sz w:val="24"/>
                <w:szCs w:val="24"/>
              </w:rPr>
              <w:t>Стахно</w:t>
            </w:r>
            <w:proofErr w:type="spellEnd"/>
            <w:r>
              <w:rPr>
                <w:rFonts w:ascii="Times New Roman" w:hAnsi="Times New Roman" w:cs="Times New Roman"/>
                <w:sz w:val="24"/>
                <w:szCs w:val="24"/>
              </w:rPr>
              <w:t xml:space="preserve"> Даниил Владимирович</w:t>
            </w:r>
          </w:p>
          <w:p w:rsidR="00332C7C" w:rsidRDefault="00332C7C">
            <w:pPr>
              <w:rPr>
                <w:rFonts w:ascii="Times New Roman" w:hAnsi="Times New Roman" w:cs="Times New Roman"/>
                <w:sz w:val="24"/>
                <w:szCs w:val="24"/>
              </w:rPr>
            </w:pPr>
            <w:r>
              <w:rPr>
                <w:rFonts w:ascii="Times New Roman" w:hAnsi="Times New Roman" w:cs="Times New Roman"/>
                <w:sz w:val="24"/>
                <w:szCs w:val="24"/>
              </w:rPr>
              <w:t>(495) 870-29-21</w:t>
            </w:r>
          </w:p>
          <w:p w:rsidR="00332C7C" w:rsidRPr="00332C7C" w:rsidRDefault="00332C7C">
            <w:pPr>
              <w:rPr>
                <w:rFonts w:ascii="Times New Roman" w:hAnsi="Times New Roman" w:cs="Times New Roman"/>
                <w:sz w:val="24"/>
                <w:szCs w:val="24"/>
              </w:rPr>
            </w:pPr>
            <w:r>
              <w:rPr>
                <w:rFonts w:ascii="Times New Roman" w:hAnsi="Times New Roman" w:cs="Times New Roman"/>
                <w:sz w:val="24"/>
                <w:szCs w:val="24"/>
              </w:rPr>
              <w:t>(доб. 10749)</w:t>
            </w:r>
          </w:p>
        </w:tc>
        <w:tc>
          <w:tcPr>
            <w:tcW w:w="9072" w:type="dxa"/>
          </w:tcPr>
          <w:p w:rsidR="00332C7C" w:rsidRDefault="00332C7C">
            <w:pPr>
              <w:rPr>
                <w:rFonts w:ascii="Times New Roman" w:hAnsi="Times New Roman" w:cs="Times New Roman"/>
                <w:sz w:val="24"/>
                <w:szCs w:val="24"/>
              </w:rPr>
            </w:pPr>
            <w:proofErr w:type="spellStart"/>
            <w:r>
              <w:rPr>
                <w:rFonts w:ascii="Times New Roman" w:hAnsi="Times New Roman" w:cs="Times New Roman"/>
                <w:sz w:val="24"/>
                <w:szCs w:val="24"/>
              </w:rPr>
              <w:t>Вх</w:t>
            </w:r>
            <w:proofErr w:type="spellEnd"/>
            <w:r>
              <w:rPr>
                <w:rFonts w:ascii="Times New Roman" w:hAnsi="Times New Roman" w:cs="Times New Roman"/>
                <w:sz w:val="24"/>
                <w:szCs w:val="24"/>
              </w:rPr>
              <w:t>. ДК-П9-4834 от 13.06.2019. Подготовлен проект доклада в Правительство РФ на подписи у Министра экономического развития. Проектом доклада предлагаются варианты:</w:t>
            </w:r>
          </w:p>
          <w:p w:rsidR="00BB731E" w:rsidRPr="00332C7C" w:rsidRDefault="00332C7C" w:rsidP="00332C7C">
            <w:pPr>
              <w:pStyle w:val="a4"/>
              <w:numPr>
                <w:ilvl w:val="0"/>
                <w:numId w:val="2"/>
              </w:numPr>
              <w:rPr>
                <w:rFonts w:ascii="Times New Roman" w:hAnsi="Times New Roman" w:cs="Times New Roman"/>
                <w:sz w:val="24"/>
                <w:szCs w:val="24"/>
              </w:rPr>
            </w:pPr>
            <w:r w:rsidRPr="00332C7C">
              <w:rPr>
                <w:rFonts w:ascii="Times New Roman" w:hAnsi="Times New Roman" w:cs="Times New Roman"/>
                <w:sz w:val="24"/>
                <w:szCs w:val="24"/>
              </w:rPr>
              <w:t>по ограничению статей «расчетная предпринимательская прибыль» и «резервы по сомнительным долгам»</w:t>
            </w:r>
          </w:p>
          <w:p w:rsidR="00332C7C" w:rsidRDefault="00332C7C" w:rsidP="00332C7C">
            <w:pPr>
              <w:pStyle w:val="a4"/>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предоставления право регулятору субъекта ограничить НВВ гарантирующего поставщика если услуга для конечного потребителя растёт выше индекса потребительских цен</w:t>
            </w:r>
          </w:p>
          <w:p w:rsidR="00332C7C" w:rsidRPr="00332C7C" w:rsidRDefault="00332C7C" w:rsidP="00F20660">
            <w:pPr>
              <w:ind w:left="360"/>
              <w:rPr>
                <w:rFonts w:ascii="Times New Roman" w:hAnsi="Times New Roman" w:cs="Times New Roman"/>
                <w:i/>
                <w:sz w:val="24"/>
                <w:szCs w:val="24"/>
              </w:rPr>
            </w:pPr>
            <w:r>
              <w:rPr>
                <w:rFonts w:ascii="Times New Roman" w:hAnsi="Times New Roman" w:cs="Times New Roman"/>
                <w:i/>
                <w:sz w:val="24"/>
                <w:szCs w:val="24"/>
              </w:rPr>
              <w:t xml:space="preserve">(неформально Министерство экономического развития РФ видит </w:t>
            </w:r>
            <w:r w:rsidR="00F20660">
              <w:rPr>
                <w:rFonts w:ascii="Times New Roman" w:hAnsi="Times New Roman" w:cs="Times New Roman"/>
                <w:i/>
                <w:sz w:val="24"/>
                <w:szCs w:val="24"/>
              </w:rPr>
              <w:t>факт</w:t>
            </w:r>
            <w:r>
              <w:rPr>
                <w:rFonts w:ascii="Times New Roman" w:hAnsi="Times New Roman" w:cs="Times New Roman"/>
                <w:i/>
                <w:sz w:val="24"/>
                <w:szCs w:val="24"/>
              </w:rPr>
              <w:t xml:space="preserve"> наличи</w:t>
            </w:r>
            <w:r w:rsidR="00F20660">
              <w:rPr>
                <w:rFonts w:ascii="Times New Roman" w:hAnsi="Times New Roman" w:cs="Times New Roman"/>
                <w:i/>
                <w:sz w:val="24"/>
                <w:szCs w:val="24"/>
              </w:rPr>
              <w:t>я проблемы и поддерживает нашу позицию. Министерство экономического развития было против принятия методики «эталонов», не формально было сказано, что методика очень далека от реальной экономики. Такая же проблема есть еще по Курганской, Тульской областям и ряду других субъектов РФ, которые пока озвучивают ее на уровне отраслевых Министерств и ведомств, не выводя проблему на высокий уровень.)</w:t>
            </w:r>
          </w:p>
        </w:tc>
      </w:tr>
    </w:tbl>
    <w:p w:rsidR="006447C5" w:rsidRDefault="006447C5"/>
    <w:sectPr w:rsidR="006447C5" w:rsidSect="007A5FA5">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973C6"/>
    <w:multiLevelType w:val="hybridMultilevel"/>
    <w:tmpl w:val="B3927DA2"/>
    <w:lvl w:ilvl="0" w:tplc="1A66282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FA2ABA"/>
    <w:multiLevelType w:val="hybridMultilevel"/>
    <w:tmpl w:val="8BDC1490"/>
    <w:lvl w:ilvl="0" w:tplc="574A0D0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20"/>
    <w:rsid w:val="00332C7C"/>
    <w:rsid w:val="004E02BA"/>
    <w:rsid w:val="006447C5"/>
    <w:rsid w:val="007A5FA5"/>
    <w:rsid w:val="007C21E7"/>
    <w:rsid w:val="00827520"/>
    <w:rsid w:val="00866CF2"/>
    <w:rsid w:val="00BB731E"/>
    <w:rsid w:val="00F20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5B87"/>
  <w15:chartTrackingRefBased/>
  <w15:docId w15:val="{9BBF7B1D-63E8-42E7-9333-7AE71BBD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2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412</Words>
  <Characters>2350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Рощин</dc:creator>
  <cp:keywords/>
  <dc:description/>
  <cp:lastModifiedBy>Кирилл Рощин</cp:lastModifiedBy>
  <cp:revision>3</cp:revision>
  <dcterms:created xsi:type="dcterms:W3CDTF">2019-06-28T09:48:00Z</dcterms:created>
  <dcterms:modified xsi:type="dcterms:W3CDTF">2019-06-28T12:14:00Z</dcterms:modified>
</cp:coreProperties>
</file>