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9" w:rsidRPr="00813F09" w:rsidRDefault="00813F09" w:rsidP="00813F09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813F09">
        <w:rPr>
          <w:b/>
          <w:sz w:val="28"/>
          <w:szCs w:val="28"/>
        </w:rPr>
        <w:t>Информация</w:t>
      </w:r>
    </w:p>
    <w:p w:rsidR="00813F09" w:rsidRPr="00813F09" w:rsidRDefault="00813F09" w:rsidP="0029586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о возможности внедрения программного обеспечения в целях повышения собираемости имущественных налогов и сборов</w:t>
      </w:r>
    </w:p>
    <w:p w:rsidR="00813F09" w:rsidRP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P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Default="000A13F4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Рядом разработчиков п</w:t>
      </w:r>
      <w:r w:rsidR="00813F09">
        <w:rPr>
          <w:sz w:val="28"/>
          <w:szCs w:val="28"/>
        </w:rPr>
        <w:t>рограммного обеспечения, позволяющего оптимизировать и увеличить собираемость имущественных налогов и сборов, предлагает</w:t>
      </w:r>
      <w:r>
        <w:rPr>
          <w:sz w:val="28"/>
          <w:szCs w:val="28"/>
        </w:rPr>
        <w:t>ся</w:t>
      </w:r>
      <w:r w:rsidR="00813F09">
        <w:rPr>
          <w:sz w:val="28"/>
          <w:szCs w:val="28"/>
        </w:rPr>
        <w:t xml:space="preserve"> следующий механизм внедрения программного обеспечения на территории Тверской области.</w:t>
      </w:r>
    </w:p>
    <w:p w:rsid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Pr="00813F09" w:rsidRDefault="00813F09" w:rsidP="00813F0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1916" cy="3204376"/>
            <wp:effectExtent l="0" t="0" r="1397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Default="000A13F4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действующему законодательству имеются следующие препятствия к реализации предлагаемого </w:t>
      </w:r>
      <w:r w:rsidR="00813F09">
        <w:rPr>
          <w:sz w:val="28"/>
          <w:szCs w:val="28"/>
        </w:rPr>
        <w:t>механизм</w:t>
      </w:r>
      <w:r>
        <w:rPr>
          <w:sz w:val="28"/>
          <w:szCs w:val="28"/>
        </w:rPr>
        <w:t>а:</w:t>
      </w:r>
      <w:bookmarkStart w:id="0" w:name="_GoBack"/>
      <w:bookmarkEnd w:id="0"/>
    </w:p>
    <w:p w:rsidR="001928E5" w:rsidRDefault="001928E5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Любой исполнительный орган государственной власти Тверской области, исходя из понятийного аппарата, приведенного в статье 2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(далее – Федеральный закон № 44-ФЗ) является государственным заказчиком соответствующих товара, работы, услуги.</w:t>
      </w:r>
    </w:p>
    <w:p w:rsidR="001928E5" w:rsidRDefault="001928E5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Законом № 44-ФЗ предусмотрена обязанность государственных заказчиков осуществлять закупку товара, работ, услуг </w:t>
      </w:r>
      <w:proofErr w:type="gramStart"/>
      <w:r>
        <w:rPr>
          <w:sz w:val="28"/>
          <w:szCs w:val="28"/>
        </w:rPr>
        <w:t>в соответствии с правилами</w:t>
      </w:r>
      <w:proofErr w:type="gramEnd"/>
      <w:r>
        <w:rPr>
          <w:sz w:val="28"/>
          <w:szCs w:val="28"/>
        </w:rPr>
        <w:t xml:space="preserve"> установленными данным федеральным законом, то есть путем проведения торгов (статьи 48-71 Федерального закона № 44-ФЗ) или путем заключения государственного контракта с единственным поставщиком (статья 93 Федерального закона № 44-ФЗ).</w:t>
      </w:r>
    </w:p>
    <w:p w:rsidR="001928E5" w:rsidRDefault="001928E5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получение исполнительным органом государственной власти Тверской области соответствующих товаров, работ, услуг, в том числе и работ по разработке и внедрению программного обеспечения, предусматривающего повышение имущественных налогов и сборов, должно </w:t>
      </w:r>
      <w:r>
        <w:rPr>
          <w:sz w:val="28"/>
          <w:szCs w:val="28"/>
        </w:rPr>
        <w:lastRenderedPageBreak/>
        <w:t>осуществляться в соответствии с правилами, установленными Федеральным законом № 44-ФЗ.</w:t>
      </w:r>
    </w:p>
    <w:p w:rsidR="001928E5" w:rsidRDefault="001928E5" w:rsidP="00B45BD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В соответствии со статьей 72 Б</w:t>
      </w:r>
      <w:r w:rsidR="00B45BDE">
        <w:rPr>
          <w:sz w:val="28"/>
          <w:szCs w:val="28"/>
        </w:rPr>
        <w:t>юджетного кодекса</w:t>
      </w:r>
      <w:r>
        <w:rPr>
          <w:sz w:val="28"/>
          <w:szCs w:val="28"/>
        </w:rPr>
        <w:t xml:space="preserve"> Р</w:t>
      </w:r>
      <w:r w:rsidR="00B45BDE">
        <w:rPr>
          <w:sz w:val="28"/>
          <w:szCs w:val="28"/>
        </w:rPr>
        <w:t xml:space="preserve">оссийской </w:t>
      </w:r>
      <w:r>
        <w:rPr>
          <w:sz w:val="28"/>
          <w:szCs w:val="28"/>
        </w:rPr>
        <w:t>Ф</w:t>
      </w:r>
      <w:r w:rsidR="00B45BDE">
        <w:rPr>
          <w:sz w:val="28"/>
          <w:szCs w:val="28"/>
        </w:rPr>
        <w:t>едерации (далее – БК РФ)</w:t>
      </w:r>
      <w:r>
        <w:rPr>
          <w:sz w:val="28"/>
          <w:szCs w:val="28"/>
        </w:rPr>
        <w:t xml:space="preserve"> з</w:t>
      </w:r>
      <w:r w:rsidRPr="00800D1C">
        <w:rPr>
          <w:sz w:val="28"/>
          <w:szCs w:val="28"/>
        </w:rPr>
        <w:t xml:space="preserve">акупки товаров, работ, услуг для обеспечения государственных (муниципальных) нужд осуществляются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 с учетом положений </w:t>
      </w:r>
      <w:r>
        <w:rPr>
          <w:sz w:val="28"/>
          <w:szCs w:val="28"/>
        </w:rPr>
        <w:t>БК РФ.</w:t>
      </w:r>
    </w:p>
    <w:p w:rsidR="001928E5" w:rsidRDefault="001928E5" w:rsidP="001928E5">
      <w:pPr>
        <w:ind w:firstLine="567"/>
        <w:jc w:val="both"/>
        <w:rPr>
          <w:sz w:val="28"/>
          <w:szCs w:val="28"/>
        </w:rPr>
      </w:pPr>
      <w:r w:rsidRPr="00800D1C">
        <w:rPr>
          <w:sz w:val="28"/>
          <w:szCs w:val="28"/>
        </w:rPr>
        <w:t>Государственные (муниципальные) контракты заключаются в соответствии с планом-графиком закупок товаров, работ, услуг для обеспечения государственных (муниципальных) нужд, сформированным и утвержденным в установленном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 порядке, и оплачиваются в пределах лимитов бюджетных обязательств, за исключением случаев,</w:t>
      </w:r>
      <w:r>
        <w:rPr>
          <w:sz w:val="28"/>
          <w:szCs w:val="28"/>
        </w:rPr>
        <w:t xml:space="preserve"> установленных БК РФ, когда г</w:t>
      </w:r>
      <w:r w:rsidRPr="00800D1C">
        <w:rPr>
          <w:sz w:val="28"/>
          <w:szCs w:val="28"/>
        </w:rPr>
        <w:t xml:space="preserve">осударственные (муниципальные) контракты </w:t>
      </w:r>
      <w:r>
        <w:rPr>
          <w:sz w:val="28"/>
          <w:szCs w:val="28"/>
        </w:rPr>
        <w:t>могут заключаться на срок превышающий срок действия лимитов</w:t>
      </w:r>
      <w:r w:rsidRPr="00491EF6">
        <w:t xml:space="preserve"> </w:t>
      </w:r>
      <w:r w:rsidRPr="00491EF6">
        <w:rPr>
          <w:sz w:val="28"/>
          <w:szCs w:val="28"/>
        </w:rPr>
        <w:t>бюджетных обязательств</w:t>
      </w:r>
      <w:r>
        <w:rPr>
          <w:sz w:val="28"/>
          <w:szCs w:val="28"/>
        </w:rPr>
        <w:t>.</w:t>
      </w:r>
    </w:p>
    <w:p w:rsidR="001928E5" w:rsidRDefault="00B45BDE" w:rsidP="00B45BDE">
      <w:pPr>
        <w:ind w:firstLine="567"/>
        <w:jc w:val="both"/>
      </w:pPr>
      <w:r>
        <w:rPr>
          <w:sz w:val="28"/>
          <w:szCs w:val="28"/>
        </w:rPr>
        <w:t>Согласно</w:t>
      </w:r>
      <w:r w:rsidR="001928E5">
        <w:rPr>
          <w:sz w:val="28"/>
          <w:szCs w:val="28"/>
        </w:rPr>
        <w:t xml:space="preserve"> пункт</w:t>
      </w:r>
      <w:r>
        <w:rPr>
          <w:sz w:val="28"/>
          <w:szCs w:val="28"/>
        </w:rPr>
        <w:t>у</w:t>
      </w:r>
      <w:r w:rsidR="001928E5">
        <w:rPr>
          <w:sz w:val="28"/>
          <w:szCs w:val="28"/>
        </w:rPr>
        <w:t xml:space="preserve"> 5 статьи 161 БК РФ з</w:t>
      </w:r>
      <w:r w:rsidR="001928E5" w:rsidRPr="00491EF6">
        <w:rPr>
          <w:sz w:val="28"/>
          <w:szCs w:val="28"/>
        </w:rPr>
        <w:t xml:space="preserve">аключение и оплата казенным учреждением государственных (муниципальных) контрактов, иных договоров, подлежащих исполнению за счет бюджетных средств, производятся от имени Российской Федерации, субъекта Российской Федерации, муниципального образования </w:t>
      </w:r>
      <w:proofErr w:type="gramStart"/>
      <w:r w:rsidR="001928E5" w:rsidRPr="00491EF6">
        <w:rPr>
          <w:sz w:val="28"/>
          <w:szCs w:val="28"/>
        </w:rPr>
        <w:t>в пределах</w:t>
      </w:r>
      <w:proofErr w:type="gramEnd"/>
      <w:r w:rsidR="001928E5" w:rsidRPr="00491EF6">
        <w:rPr>
          <w:sz w:val="28"/>
          <w:szCs w:val="28"/>
        </w:rPr>
        <w:t xml:space="preserve"> доведенных казенному учреждению лимитов бюджетных обязательств, если иное не установлено </w:t>
      </w:r>
      <w:r w:rsidR="001928E5">
        <w:rPr>
          <w:sz w:val="28"/>
          <w:szCs w:val="28"/>
        </w:rPr>
        <w:t xml:space="preserve">    БК РФ (статья 72)</w:t>
      </w:r>
      <w:r w:rsidR="001928E5" w:rsidRPr="00491EF6">
        <w:rPr>
          <w:sz w:val="28"/>
          <w:szCs w:val="28"/>
        </w:rPr>
        <w:t>, и с учетом принятых и неисполненных обязательств.</w:t>
      </w:r>
    </w:p>
    <w:p w:rsidR="001928E5" w:rsidRDefault="001928E5" w:rsidP="001928E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пункту 11 статьи 161 БК РФ положения, установленные данной статьей в отношении казенных учреждений, распространяются на </w:t>
      </w:r>
      <w:r w:rsidRPr="00491EF6">
        <w:rPr>
          <w:sz w:val="28"/>
          <w:szCs w:val="28"/>
        </w:rPr>
        <w:t>органы государственной власти (государственные органы), органы местного самоуправления (муниципальные органы) и органы управления государственными внебюджетными фондами</w:t>
      </w:r>
      <w:r>
        <w:rPr>
          <w:sz w:val="28"/>
          <w:szCs w:val="28"/>
        </w:rPr>
        <w:t>.</w:t>
      </w:r>
    </w:p>
    <w:p w:rsidR="001928E5" w:rsidRDefault="00B45BDE" w:rsidP="001928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Приведенные положения БК РФ связывают возможность осуществления закупки товара, работы, услуги с обязательным наличием следующих условий:</w:t>
      </w:r>
    </w:p>
    <w:p w:rsidR="00B45BDE" w:rsidRDefault="00B45BDE" w:rsidP="001928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а) наличие лимитов бюджетных ассигнований, за счет которых будет производиться оплата товаров, работ, услуг по государственному контракту, то есть утверждение соответствующего размера денежных средств законом об областном бюджете на текущий и плановый периоды;</w:t>
      </w:r>
    </w:p>
    <w:p w:rsidR="00B45BDE" w:rsidRDefault="00B45BDE" w:rsidP="001928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б) наличие государственной программы соответствующего исполнительного органа государственной власти, в рамках которой предусмотрено расходование указанных денежных средств;</w:t>
      </w:r>
    </w:p>
    <w:p w:rsidR="00B45BDE" w:rsidRDefault="00B45BDE" w:rsidP="001928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в) планирование закупки, то есть включение соответствующих товаров, работ, услуг в план-график закупок и его утверждение.</w:t>
      </w:r>
    </w:p>
    <w:p w:rsidR="00B45BDE" w:rsidRDefault="00B45BDE" w:rsidP="001928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отсутствии перечисленных условий приобретение и последующее потребление товаров, работ, услуг не будет соответствовать приведенным положениям законодательства.</w:t>
      </w:r>
    </w:p>
    <w:p w:rsidR="00554EB3" w:rsidRPr="00554EB3" w:rsidRDefault="00B45BDE" w:rsidP="00554EB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В соотве</w:t>
      </w:r>
      <w:r w:rsidR="00554EB3">
        <w:rPr>
          <w:sz w:val="28"/>
          <w:szCs w:val="28"/>
        </w:rPr>
        <w:t>тствии со статьей 12 Налогового кодекса Российской Федерации (далее – НК РФ) в</w:t>
      </w:r>
      <w:r w:rsidR="00554EB3">
        <w:rPr>
          <w:rFonts w:eastAsiaTheme="minorHAnsi"/>
          <w:sz w:val="28"/>
          <w:szCs w:val="28"/>
          <w:lang w:eastAsia="en-US"/>
        </w:rPr>
        <w:t xml:space="preserve"> Российской Федерации устанавливаются следующие виды налогов и сборов: 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а) федеральные налоги и сборы, которые установлены НК РФ и обязательны к уплате на всей территории Российской Федерации.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б) региональные налоги, которые установлены настоящим НК РФ и законами субъектов Российской Федерации о налогах и обязательны к уплате на территориях соответствующих субъектов Российской Федерации.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в) местные налоги и сборы, которые установлены НК РФ и нормативными правовыми актами представительных органов муниципальных образований о налогах и сборах и обязательны к уплате на территориях соответствующих муниципальных образований.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налогов, собираемость которых возможно повысить в рамках внедрения специального программного обеспечения, предлагаемого разработчиком, относятся налог на имущество организаций (региональный), земельный налог (местный), налог на имущество физических лиц (местный), а также имущественные платежи, вытекающие из обязательственных правоотношений (аренда и т.п.).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нормами НК РФ поступившие налоговые платежи зачисляются в бюджет соответствующего уровня. Дальнейшее расходование поступивших в соответствующий бюджет денежных средств от уплаты налогов регулируется бюджетным законодательством.</w:t>
      </w:r>
    </w:p>
    <w:p w:rsidR="00554EB3" w:rsidRDefault="00554EB3" w:rsidP="00554EB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НК РФ предусмотрены механизмы возврата и возмещения оплаченных налогов, однако данные механизмы применимы только к соответствующим налогоплательщикам и не могут быть распространены на разработчика программного обеспечения.</w:t>
      </w:r>
    </w:p>
    <w:p w:rsidR="005A77C4" w:rsidRDefault="005A77C4" w:rsidP="005A77C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БК РФ устанавливает, что взаимоотношения между субъектами Российской Федерации и муниципальными образованиями, входящими в его состав, строятся с учетом принципа самостоятельности бюджетов, который в том числе включает в себя </w:t>
      </w:r>
      <w:r w:rsidRPr="00B9348E">
        <w:rPr>
          <w:sz w:val="28"/>
          <w:szCs w:val="28"/>
        </w:rPr>
        <w:t>право органов государственной власти и органов местного самоуправления предоставлять средства из бюджета на исполнение расходных обязательств, устанавливаемых иными органами государственной власти и органами местного самоуправления, исключительно в форме межбюджетных трансфертов</w:t>
      </w:r>
      <w:r>
        <w:rPr>
          <w:sz w:val="28"/>
          <w:szCs w:val="28"/>
        </w:rPr>
        <w:t xml:space="preserve"> (статья 31 БК РФ).</w:t>
      </w:r>
    </w:p>
    <w:p w:rsidR="005A77C4" w:rsidRDefault="005A77C4" w:rsidP="005A77C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бюджета субъекта Российской Федерации межбюджетные трансферты могут предоставляться исключительно в формах, установленных статьей БК РФ:</w:t>
      </w:r>
    </w:p>
    <w:p w:rsidR="005A77C4" w:rsidRPr="00B9348E" w:rsidRDefault="005A77C4" w:rsidP="005A77C4">
      <w:pPr>
        <w:ind w:firstLine="567"/>
        <w:jc w:val="both"/>
        <w:rPr>
          <w:sz w:val="28"/>
          <w:szCs w:val="28"/>
        </w:rPr>
      </w:pPr>
      <w:r w:rsidRPr="00B9348E">
        <w:rPr>
          <w:sz w:val="28"/>
          <w:szCs w:val="28"/>
        </w:rPr>
        <w:t>дотаций на выравнивание бюджетной обеспеченности поселений (внутригородских районов) и дотаций на выравнивание бюджетной обеспеченности муниципальных районов (городских округов, городских округов с внутригородским делением);</w:t>
      </w:r>
    </w:p>
    <w:p w:rsidR="005A77C4" w:rsidRPr="00B9348E" w:rsidRDefault="005A77C4" w:rsidP="005A77C4">
      <w:pPr>
        <w:ind w:firstLine="567"/>
        <w:jc w:val="both"/>
        <w:rPr>
          <w:sz w:val="28"/>
          <w:szCs w:val="28"/>
        </w:rPr>
      </w:pPr>
      <w:r w:rsidRPr="00B9348E">
        <w:rPr>
          <w:sz w:val="28"/>
          <w:szCs w:val="28"/>
        </w:rPr>
        <w:t>субсидий местным бюджетам;</w:t>
      </w:r>
    </w:p>
    <w:p w:rsidR="005A77C4" w:rsidRPr="00B9348E" w:rsidRDefault="005A77C4" w:rsidP="005A77C4">
      <w:pPr>
        <w:ind w:firstLine="567"/>
        <w:jc w:val="both"/>
        <w:rPr>
          <w:sz w:val="28"/>
          <w:szCs w:val="28"/>
        </w:rPr>
      </w:pPr>
      <w:r w:rsidRPr="00B9348E">
        <w:rPr>
          <w:sz w:val="28"/>
          <w:szCs w:val="28"/>
        </w:rPr>
        <w:t xml:space="preserve">субвенций местным бюджетам и субвенций бюджетам автономных округов, входящих в состав краев, областей, для реализации полномочий органов государственной власти субъектов Российской Федерации, </w:t>
      </w:r>
      <w:r w:rsidRPr="00B9348E">
        <w:rPr>
          <w:sz w:val="28"/>
          <w:szCs w:val="28"/>
        </w:rPr>
        <w:lastRenderedPageBreak/>
        <w:t>передаваемых на основании договоров между органами государственной власти автономного округа и соответственно органами государственной власти края или области, заключенных в соответствии с законодательством Российской Федерации;</w:t>
      </w:r>
    </w:p>
    <w:p w:rsidR="00554EB3" w:rsidRDefault="005A77C4" w:rsidP="005A77C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ины</w:t>
      </w:r>
      <w:r w:rsidRPr="00B9348E">
        <w:rPr>
          <w:sz w:val="28"/>
          <w:szCs w:val="28"/>
        </w:rPr>
        <w:t>х межбюджетных трансфертов</w:t>
      </w:r>
      <w:r>
        <w:rPr>
          <w:sz w:val="28"/>
          <w:szCs w:val="28"/>
        </w:rPr>
        <w:t>,</w:t>
      </w:r>
      <w:r w:rsidRPr="00B9348E">
        <w:rPr>
          <w:sz w:val="28"/>
          <w:szCs w:val="28"/>
        </w:rPr>
        <w:t xml:space="preserve"> предоставляемы</w:t>
      </w:r>
      <w:r>
        <w:rPr>
          <w:sz w:val="28"/>
          <w:szCs w:val="28"/>
        </w:rPr>
        <w:t>х</w:t>
      </w:r>
      <w:r w:rsidRPr="00B9348E">
        <w:rPr>
          <w:sz w:val="28"/>
          <w:szCs w:val="28"/>
        </w:rPr>
        <w:t xml:space="preserve"> из бюджета субъекта Российской Федерации местным бюджетам.</w:t>
      </w:r>
    </w:p>
    <w:p w:rsidR="00554EB3" w:rsidRDefault="005A77C4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как налоговое, так и бюд</w:t>
      </w:r>
      <w:r w:rsidR="001D64B9">
        <w:rPr>
          <w:sz w:val="28"/>
          <w:szCs w:val="28"/>
        </w:rPr>
        <w:t>жетное законодательство исключаю</w:t>
      </w:r>
      <w:r>
        <w:rPr>
          <w:sz w:val="28"/>
          <w:szCs w:val="28"/>
        </w:rPr>
        <w:t>т возможность оплаты услуг (работ) по внедрению программного обеспечения за счет увеличившихся поступлений имущественных налогов и сборов.</w:t>
      </w:r>
    </w:p>
    <w:p w:rsidR="005A77C4" w:rsidRDefault="005A77C4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Даже если предположить, что между исполнительным органом государственной власти Тверской области и компанией-разработчиком будут иметь место обязательственные правоотношения, возможность возложить обязанность по оплате оказанных услуг на органы местного самоуправления, являющиеся в соответствии с Конституцией Российской Федерации самостоятельными, отсутствует.</w:t>
      </w:r>
    </w:p>
    <w:p w:rsidR="00554EB3" w:rsidRDefault="005A77C4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Полагаем, что заключение соответствующего договора между исполнительным органом государственной власти Тверской области и компанией-разработчиком возможно в порядке, предусмотренном БК РФ и Федеральным законом № 44-ФЗ.</w:t>
      </w:r>
    </w:p>
    <w:p w:rsidR="00554EB3" w:rsidRDefault="00554EB3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554EB3" w:rsidRDefault="00554EB3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813F09" w:rsidRDefault="00813F09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sectPr w:rsidR="0081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D"/>
    <w:rsid w:val="000A13F4"/>
    <w:rsid w:val="001928E5"/>
    <w:rsid w:val="001D64B9"/>
    <w:rsid w:val="0022119D"/>
    <w:rsid w:val="00295860"/>
    <w:rsid w:val="003F0420"/>
    <w:rsid w:val="003F6685"/>
    <w:rsid w:val="00554EB3"/>
    <w:rsid w:val="00556894"/>
    <w:rsid w:val="00586244"/>
    <w:rsid w:val="005A77C4"/>
    <w:rsid w:val="00813F09"/>
    <w:rsid w:val="00A2178B"/>
    <w:rsid w:val="00B45BDE"/>
    <w:rsid w:val="00C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54E76-5E88-4812-B58C-3482E35F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F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F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F04AC7-0423-429F-9380-398D194F541E}" type="doc">
      <dgm:prSet loTypeId="urn:microsoft.com/office/officeart/2005/8/layout/process1" loCatId="process" qsTypeId="urn:microsoft.com/office/officeart/2005/8/quickstyle/simple1" qsCatId="simple" csTypeId="urn:microsoft.com/office/officeart/2005/8/colors/accent3_1" csCatId="accent3" phldr="1"/>
      <dgm:spPr/>
    </dgm:pt>
    <dgm:pt modelId="{0DCF3C2E-B087-4A55-8E2E-5C6C99D36645}">
      <dgm:prSet phldrT="[Текст]" custT="1"/>
      <dgm:spPr/>
      <dgm:t>
        <a:bodyPr/>
        <a:lstStyle/>
        <a:p>
          <a:r>
            <a:rPr lang="ru-RU" sz="1400">
              <a:latin typeface="Times New Roman" pitchFamily="18" charset="0"/>
              <a:cs typeface="Times New Roman" pitchFamily="18" charset="0"/>
            </a:rPr>
            <a:t>Разработка и внедрение за счет организации программного продукта на территории Тверской области</a:t>
          </a:r>
        </a:p>
      </dgm:t>
    </dgm:pt>
    <dgm:pt modelId="{A6195D75-33FA-4157-9539-A96CC4626641}" type="parTrans" cxnId="{56353430-47BC-4339-8F39-24D50009E9F4}">
      <dgm:prSet/>
      <dgm:spPr/>
      <dgm:t>
        <a:bodyPr/>
        <a:lstStyle/>
        <a:p>
          <a:endParaRPr lang="ru-RU"/>
        </a:p>
      </dgm:t>
    </dgm:pt>
    <dgm:pt modelId="{48A58434-C036-44E4-A8B2-C633F72AFFD6}" type="sibTrans" cxnId="{56353430-47BC-4339-8F39-24D50009E9F4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ru-RU"/>
        </a:p>
      </dgm:t>
    </dgm:pt>
    <dgm:pt modelId="{C1CD68DE-6225-41EE-8504-515F8D6B63E7}">
      <dgm:prSet phldrT="[Текст]" custT="1"/>
      <dgm:spPr/>
      <dgm:t>
        <a:bodyPr/>
        <a:lstStyle/>
        <a:p>
          <a:r>
            <a:rPr lang="ru-RU" sz="1400">
              <a:latin typeface="Times New Roman" pitchFamily="18" charset="0"/>
              <a:cs typeface="Times New Roman" pitchFamily="18" charset="0"/>
            </a:rPr>
            <a:t>Повышение собираемости имущественных налогов и сборов</a:t>
          </a:r>
        </a:p>
      </dgm:t>
    </dgm:pt>
    <dgm:pt modelId="{1CFB891A-1578-430E-AB2B-704AC0CEB6C8}" type="parTrans" cxnId="{DBD5A1A2-4A37-4726-9FD6-22BEC15BA225}">
      <dgm:prSet/>
      <dgm:spPr/>
      <dgm:t>
        <a:bodyPr/>
        <a:lstStyle/>
        <a:p>
          <a:endParaRPr lang="ru-RU"/>
        </a:p>
      </dgm:t>
    </dgm:pt>
    <dgm:pt modelId="{D759BF66-BA0E-4864-8D84-CB64347E89F4}" type="sibTrans" cxnId="{DBD5A1A2-4A37-4726-9FD6-22BEC15BA225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ru-RU"/>
        </a:p>
      </dgm:t>
    </dgm:pt>
    <dgm:pt modelId="{608110C4-6DA4-44A9-BB3C-B23CDCF58EB0}">
      <dgm:prSet phldrT="[Текст]" custT="1"/>
      <dgm:spPr/>
      <dgm:t>
        <a:bodyPr/>
        <a:lstStyle/>
        <a:p>
          <a:r>
            <a:rPr lang="ru-RU" sz="1400">
              <a:latin typeface="Times New Roman" pitchFamily="18" charset="0"/>
              <a:cs typeface="Times New Roman" pitchFamily="18" charset="0"/>
            </a:rPr>
            <a:t>Оплата за выполненные работы за счет денежных средств, полученных от повышения собираемости имущественных платежей</a:t>
          </a:r>
        </a:p>
      </dgm:t>
    </dgm:pt>
    <dgm:pt modelId="{5643D295-6642-487F-B994-9E4034E4A15B}" type="parTrans" cxnId="{F64AE3C7-857E-405F-BCFB-3D0F898120B0}">
      <dgm:prSet/>
      <dgm:spPr/>
      <dgm:t>
        <a:bodyPr/>
        <a:lstStyle/>
        <a:p>
          <a:endParaRPr lang="ru-RU"/>
        </a:p>
      </dgm:t>
    </dgm:pt>
    <dgm:pt modelId="{89E67647-D8F8-4803-8411-67FDF76AA823}" type="sibTrans" cxnId="{F64AE3C7-857E-405F-BCFB-3D0F898120B0}">
      <dgm:prSet/>
      <dgm:spPr/>
      <dgm:t>
        <a:bodyPr/>
        <a:lstStyle/>
        <a:p>
          <a:endParaRPr lang="ru-RU"/>
        </a:p>
      </dgm:t>
    </dgm:pt>
    <dgm:pt modelId="{E50293D6-1E0C-4A5E-B622-73AA429AEEE7}" type="pres">
      <dgm:prSet presAssocID="{ADF04AC7-0423-429F-9380-398D194F541E}" presName="Name0" presStyleCnt="0">
        <dgm:presLayoutVars>
          <dgm:dir/>
          <dgm:resizeHandles val="exact"/>
        </dgm:presLayoutVars>
      </dgm:prSet>
      <dgm:spPr/>
    </dgm:pt>
    <dgm:pt modelId="{E78C741C-4AE4-4CBE-801B-B61E400C108B}" type="pres">
      <dgm:prSet presAssocID="{0DCF3C2E-B087-4A55-8E2E-5C6C99D36645}" presName="node" presStyleLbl="node1" presStyleIdx="0" presStyleCnt="3" custScaleY="11119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38AADC-43D1-48E2-8D07-325F478D03B1}" type="pres">
      <dgm:prSet presAssocID="{48A58434-C036-44E4-A8B2-C633F72AFFD6}" presName="sibTrans" presStyleLbl="sibTrans2D1" presStyleIdx="0" presStyleCnt="2"/>
      <dgm:spPr/>
      <dgm:t>
        <a:bodyPr/>
        <a:lstStyle/>
        <a:p>
          <a:endParaRPr lang="ru-RU"/>
        </a:p>
      </dgm:t>
    </dgm:pt>
    <dgm:pt modelId="{25DE18DB-EE87-41E6-B1D3-97335FCD95C3}" type="pres">
      <dgm:prSet presAssocID="{48A58434-C036-44E4-A8B2-C633F72AFFD6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4161FB3E-2D5B-477E-BBF5-C11D363CFB65}" type="pres">
      <dgm:prSet presAssocID="{C1CD68DE-6225-41EE-8504-515F8D6B63E7}" presName="node" presStyleLbl="node1" presStyleIdx="1" presStyleCnt="3" custScaleX="107595" custScaleY="8330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FA2E13F-8BE7-4FDF-A36E-91FD5D720F36}" type="pres">
      <dgm:prSet presAssocID="{D759BF66-BA0E-4864-8D84-CB64347E89F4}" presName="sibTrans" presStyleLbl="sibTrans2D1" presStyleIdx="1" presStyleCnt="2"/>
      <dgm:spPr/>
      <dgm:t>
        <a:bodyPr/>
        <a:lstStyle/>
        <a:p>
          <a:endParaRPr lang="ru-RU"/>
        </a:p>
      </dgm:t>
    </dgm:pt>
    <dgm:pt modelId="{06ED8434-A98F-49CF-9F31-56BB9973C912}" type="pres">
      <dgm:prSet presAssocID="{D759BF66-BA0E-4864-8D84-CB64347E89F4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19751437-5B88-4809-86EC-4B4E9F45C900}" type="pres">
      <dgm:prSet presAssocID="{608110C4-6DA4-44A9-BB3C-B23CDCF58EB0}" presName="node" presStyleLbl="node1" presStyleIdx="2" presStyleCnt="3" custScaleY="108873" custLinFactNeighborX="829" custLinFactNeighborY="38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9B9DA4A-96A9-466F-9830-987355B71FBC}" type="presOf" srcId="{D759BF66-BA0E-4864-8D84-CB64347E89F4}" destId="{06ED8434-A98F-49CF-9F31-56BB9973C912}" srcOrd="1" destOrd="0" presId="urn:microsoft.com/office/officeart/2005/8/layout/process1"/>
    <dgm:cxn modelId="{756EC0DF-35D9-41D4-85B2-DD37FDD60E20}" type="presOf" srcId="{48A58434-C036-44E4-A8B2-C633F72AFFD6}" destId="{25DE18DB-EE87-41E6-B1D3-97335FCD95C3}" srcOrd="1" destOrd="0" presId="urn:microsoft.com/office/officeart/2005/8/layout/process1"/>
    <dgm:cxn modelId="{F64AE3C7-857E-405F-BCFB-3D0F898120B0}" srcId="{ADF04AC7-0423-429F-9380-398D194F541E}" destId="{608110C4-6DA4-44A9-BB3C-B23CDCF58EB0}" srcOrd="2" destOrd="0" parTransId="{5643D295-6642-487F-B994-9E4034E4A15B}" sibTransId="{89E67647-D8F8-4803-8411-67FDF76AA823}"/>
    <dgm:cxn modelId="{5339429B-296E-4BA3-8E3B-D4B6C899A3E7}" type="presOf" srcId="{D759BF66-BA0E-4864-8D84-CB64347E89F4}" destId="{7FA2E13F-8BE7-4FDF-A36E-91FD5D720F36}" srcOrd="0" destOrd="0" presId="urn:microsoft.com/office/officeart/2005/8/layout/process1"/>
    <dgm:cxn modelId="{2B6B7D01-BF03-4623-B89E-2DE4DC7D5A31}" type="presOf" srcId="{C1CD68DE-6225-41EE-8504-515F8D6B63E7}" destId="{4161FB3E-2D5B-477E-BBF5-C11D363CFB65}" srcOrd="0" destOrd="0" presId="urn:microsoft.com/office/officeart/2005/8/layout/process1"/>
    <dgm:cxn modelId="{7BEE10CF-FFEE-4A31-82DC-03E606BD8268}" type="presOf" srcId="{0DCF3C2E-B087-4A55-8E2E-5C6C99D36645}" destId="{E78C741C-4AE4-4CBE-801B-B61E400C108B}" srcOrd="0" destOrd="0" presId="urn:microsoft.com/office/officeart/2005/8/layout/process1"/>
    <dgm:cxn modelId="{DBC71CC1-0E9F-4A05-BF55-A569E778C029}" type="presOf" srcId="{608110C4-6DA4-44A9-BB3C-B23CDCF58EB0}" destId="{19751437-5B88-4809-86EC-4B4E9F45C900}" srcOrd="0" destOrd="0" presId="urn:microsoft.com/office/officeart/2005/8/layout/process1"/>
    <dgm:cxn modelId="{B1E3D8AC-E1DE-4D06-9240-5B6657B67E10}" type="presOf" srcId="{48A58434-C036-44E4-A8B2-C633F72AFFD6}" destId="{7038AADC-43D1-48E2-8D07-325F478D03B1}" srcOrd="0" destOrd="0" presId="urn:microsoft.com/office/officeart/2005/8/layout/process1"/>
    <dgm:cxn modelId="{DBD5A1A2-4A37-4726-9FD6-22BEC15BA225}" srcId="{ADF04AC7-0423-429F-9380-398D194F541E}" destId="{C1CD68DE-6225-41EE-8504-515F8D6B63E7}" srcOrd="1" destOrd="0" parTransId="{1CFB891A-1578-430E-AB2B-704AC0CEB6C8}" sibTransId="{D759BF66-BA0E-4864-8D84-CB64347E89F4}"/>
    <dgm:cxn modelId="{56353430-47BC-4339-8F39-24D50009E9F4}" srcId="{ADF04AC7-0423-429F-9380-398D194F541E}" destId="{0DCF3C2E-B087-4A55-8E2E-5C6C99D36645}" srcOrd="0" destOrd="0" parTransId="{A6195D75-33FA-4157-9539-A96CC4626641}" sibTransId="{48A58434-C036-44E4-A8B2-C633F72AFFD6}"/>
    <dgm:cxn modelId="{393A89ED-AC61-4578-A70B-FB9D191443C5}" type="presOf" srcId="{ADF04AC7-0423-429F-9380-398D194F541E}" destId="{E50293D6-1E0C-4A5E-B622-73AA429AEEE7}" srcOrd="0" destOrd="0" presId="urn:microsoft.com/office/officeart/2005/8/layout/process1"/>
    <dgm:cxn modelId="{0A68E51D-C03B-4D2D-AD9E-9A60E1D44B2F}" type="presParOf" srcId="{E50293D6-1E0C-4A5E-B622-73AA429AEEE7}" destId="{E78C741C-4AE4-4CBE-801B-B61E400C108B}" srcOrd="0" destOrd="0" presId="urn:microsoft.com/office/officeart/2005/8/layout/process1"/>
    <dgm:cxn modelId="{B3B0BFA0-D735-4D6E-91AD-E07EB7D50F12}" type="presParOf" srcId="{E50293D6-1E0C-4A5E-B622-73AA429AEEE7}" destId="{7038AADC-43D1-48E2-8D07-325F478D03B1}" srcOrd="1" destOrd="0" presId="urn:microsoft.com/office/officeart/2005/8/layout/process1"/>
    <dgm:cxn modelId="{6B5B57EA-A72E-42C1-A3B2-6D3AD2A14F7D}" type="presParOf" srcId="{7038AADC-43D1-48E2-8D07-325F478D03B1}" destId="{25DE18DB-EE87-41E6-B1D3-97335FCD95C3}" srcOrd="0" destOrd="0" presId="urn:microsoft.com/office/officeart/2005/8/layout/process1"/>
    <dgm:cxn modelId="{17F07149-7D67-49A9-9ADD-B7957CC5DEAF}" type="presParOf" srcId="{E50293D6-1E0C-4A5E-B622-73AA429AEEE7}" destId="{4161FB3E-2D5B-477E-BBF5-C11D363CFB65}" srcOrd="2" destOrd="0" presId="urn:microsoft.com/office/officeart/2005/8/layout/process1"/>
    <dgm:cxn modelId="{82853144-A7AD-417D-90A8-839142CC827C}" type="presParOf" srcId="{E50293D6-1E0C-4A5E-B622-73AA429AEEE7}" destId="{7FA2E13F-8BE7-4FDF-A36E-91FD5D720F36}" srcOrd="3" destOrd="0" presId="urn:microsoft.com/office/officeart/2005/8/layout/process1"/>
    <dgm:cxn modelId="{BD083BCB-0482-4150-956F-40D18B303BD1}" type="presParOf" srcId="{7FA2E13F-8BE7-4FDF-A36E-91FD5D720F36}" destId="{06ED8434-A98F-49CF-9F31-56BB9973C912}" srcOrd="0" destOrd="0" presId="urn:microsoft.com/office/officeart/2005/8/layout/process1"/>
    <dgm:cxn modelId="{603D534F-308D-4002-919B-00C9443835E3}" type="presParOf" srcId="{E50293D6-1E0C-4A5E-B622-73AA429AEEE7}" destId="{19751437-5B88-4809-86EC-4B4E9F45C90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8C741C-4AE4-4CBE-801B-B61E400C108B}">
      <dsp:nvSpPr>
        <dsp:cNvPr id="0" name=""/>
        <dsp:cNvSpPr/>
      </dsp:nvSpPr>
      <dsp:spPr>
        <a:xfrm>
          <a:off x="2155" y="460060"/>
          <a:ext cx="1519009" cy="228425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Разработка и внедрение за счет организации программного продукта на территории Тверской области</a:t>
          </a:r>
        </a:p>
      </dsp:txBody>
      <dsp:txXfrm>
        <a:off x="46645" y="504550"/>
        <a:ext cx="1430029" cy="2195275"/>
      </dsp:txXfrm>
    </dsp:sp>
    <dsp:sp modelId="{7038AADC-43D1-48E2-8D07-325F478D03B1}">
      <dsp:nvSpPr>
        <dsp:cNvPr id="0" name=""/>
        <dsp:cNvSpPr/>
      </dsp:nvSpPr>
      <dsp:spPr>
        <a:xfrm>
          <a:off x="1673065" y="1413830"/>
          <a:ext cx="322030" cy="376714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1673065" y="1489173"/>
        <a:ext cx="225421" cy="226028"/>
      </dsp:txXfrm>
    </dsp:sp>
    <dsp:sp modelId="{4161FB3E-2D5B-477E-BBF5-C11D363CFB65}">
      <dsp:nvSpPr>
        <dsp:cNvPr id="0" name=""/>
        <dsp:cNvSpPr/>
      </dsp:nvSpPr>
      <dsp:spPr>
        <a:xfrm>
          <a:off x="2128768" y="746583"/>
          <a:ext cx="1634378" cy="17112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Повышение собираемости имущественных налогов и сборов</a:t>
          </a:r>
        </a:p>
      </dsp:txBody>
      <dsp:txXfrm>
        <a:off x="2176637" y="794452"/>
        <a:ext cx="1538640" cy="1615470"/>
      </dsp:txXfrm>
    </dsp:sp>
    <dsp:sp modelId="{7FA2E13F-8BE7-4FDF-A36E-91FD5D720F36}">
      <dsp:nvSpPr>
        <dsp:cNvPr id="0" name=""/>
        <dsp:cNvSpPr/>
      </dsp:nvSpPr>
      <dsp:spPr>
        <a:xfrm rot="12499">
          <a:off x="3915585" y="1417943"/>
          <a:ext cx="323174" cy="376714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915585" y="1493110"/>
        <a:ext cx="226222" cy="226028"/>
      </dsp:txXfrm>
    </dsp:sp>
    <dsp:sp modelId="{19751437-5B88-4809-86EC-4B4E9F45C900}">
      <dsp:nvSpPr>
        <dsp:cNvPr id="0" name=""/>
        <dsp:cNvSpPr/>
      </dsp:nvSpPr>
      <dsp:spPr>
        <a:xfrm>
          <a:off x="4372906" y="491890"/>
          <a:ext cx="1519009" cy="22364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itchFamily="18" charset="0"/>
              <a:cs typeface="Times New Roman" pitchFamily="18" charset="0"/>
            </a:rPr>
            <a:t>Оплата за выполненные работы за счет денежных средств, полученных от повышения собираемости имущественных платежей</a:t>
          </a:r>
        </a:p>
      </dsp:txBody>
      <dsp:txXfrm>
        <a:off x="4417396" y="536380"/>
        <a:ext cx="1430029" cy="2147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0062E-968A-4A5B-9694-06B2EA51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Борисович Доля</cp:lastModifiedBy>
  <cp:revision>2</cp:revision>
  <cp:lastPrinted>2017-08-30T14:56:00Z</cp:lastPrinted>
  <dcterms:created xsi:type="dcterms:W3CDTF">2019-02-08T07:44:00Z</dcterms:created>
  <dcterms:modified xsi:type="dcterms:W3CDTF">2019-02-08T07:44:00Z</dcterms:modified>
</cp:coreProperties>
</file>