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51C" w:rsidRPr="0008323D" w:rsidRDefault="00014F3C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8323D">
        <w:rPr>
          <w:rFonts w:ascii="Times New Roman" w:hAnsi="Times New Roman" w:cs="Times New Roman"/>
          <w:b/>
          <w:sz w:val="28"/>
          <w:szCs w:val="28"/>
        </w:rPr>
        <w:t>Техническое задание по созданию информационной системы по вовлечению в налоговый оборот объектов недвижимости</w:t>
      </w:r>
    </w:p>
    <w:p w:rsid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14F3C" w:rsidRPr="0008323D" w:rsidRDefault="00014F3C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>Цель системы.</w:t>
      </w:r>
    </w:p>
    <w:p w:rsidR="00014F3C" w:rsidRDefault="00014F3C" w:rsidP="00083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ab/>
        <w:t>Целью создания системы является повышение эффективности учёта объектов недвижимости на территории Тверской области, автоматизация контроля за формированием налогооблагаемой базы и мобилизация дополнительных доходов в консолидированный бюджет Тверской области.</w:t>
      </w:r>
    </w:p>
    <w:p w:rsidR="0008323D" w:rsidRPr="0008323D" w:rsidRDefault="0008323D" w:rsidP="00083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490" w:type="dxa"/>
        <w:tblInd w:w="-601" w:type="dxa"/>
        <w:tblLook w:val="04A0" w:firstRow="1" w:lastRow="0" w:firstColumn="1" w:lastColumn="0" w:noHBand="0" w:noVBand="1"/>
      </w:tblPr>
      <w:tblGrid>
        <w:gridCol w:w="3403"/>
        <w:gridCol w:w="283"/>
        <w:gridCol w:w="4394"/>
        <w:gridCol w:w="2410"/>
      </w:tblGrid>
      <w:tr w:rsidR="004F4A49" w:rsidRPr="0008323D" w:rsidTr="00576C7F">
        <w:tc>
          <w:tcPr>
            <w:tcW w:w="10490" w:type="dxa"/>
            <w:gridSpan w:val="4"/>
          </w:tcPr>
          <w:p w:rsidR="004F4A49" w:rsidRPr="0008323D" w:rsidRDefault="004F4A49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Поставка программных модулей</w:t>
            </w:r>
          </w:p>
        </w:tc>
      </w:tr>
      <w:tr w:rsidR="004F4A49" w:rsidRPr="0008323D" w:rsidTr="006C56FB">
        <w:tc>
          <w:tcPr>
            <w:tcW w:w="3686" w:type="dxa"/>
            <w:gridSpan w:val="2"/>
            <w:vAlign w:val="center"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программного комплекса</w:t>
            </w:r>
          </w:p>
        </w:tc>
        <w:tc>
          <w:tcPr>
            <w:tcW w:w="4394" w:type="dxa"/>
            <w:vAlign w:val="center"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Состав программного комплекса</w:t>
            </w:r>
          </w:p>
        </w:tc>
        <w:tc>
          <w:tcPr>
            <w:tcW w:w="2410" w:type="dxa"/>
            <w:vAlign w:val="center"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Вид поставки</w:t>
            </w:r>
          </w:p>
        </w:tc>
      </w:tr>
      <w:tr w:rsidR="004F4A49" w:rsidRPr="0008323D" w:rsidTr="006C56FB">
        <w:tc>
          <w:tcPr>
            <w:tcW w:w="3686" w:type="dxa"/>
            <w:gridSpan w:val="2"/>
            <w:vMerge w:val="restart"/>
            <w:vAlign w:val="center"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Программно-аналитический комплекс</w:t>
            </w: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учета земельных участков</w:t>
            </w:r>
          </w:p>
        </w:tc>
        <w:tc>
          <w:tcPr>
            <w:tcW w:w="2410" w:type="dxa"/>
            <w:vMerge w:val="restart"/>
            <w:vAlign w:val="center"/>
          </w:tcPr>
          <w:p w:rsidR="004F4A49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4F4A49" w:rsidRPr="0008323D">
              <w:rPr>
                <w:rFonts w:ascii="Times New Roman" w:hAnsi="Times New Roman" w:cs="Times New Roman"/>
                <w:sz w:val="28"/>
                <w:szCs w:val="28"/>
              </w:rPr>
              <w:t>ицензия</w:t>
            </w: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учета объектов капитального строительства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учета правообладателей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учета документов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ГИС модуль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импорта-экспорта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F4A49" w:rsidRPr="0008323D" w:rsidTr="006C56FB">
        <w:tc>
          <w:tcPr>
            <w:tcW w:w="3686" w:type="dxa"/>
            <w:gridSpan w:val="2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</w:tcPr>
          <w:p w:rsidR="004F4A49" w:rsidRPr="0008323D" w:rsidRDefault="00912922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Модуль администрирования</w:t>
            </w:r>
          </w:p>
        </w:tc>
        <w:tc>
          <w:tcPr>
            <w:tcW w:w="2410" w:type="dxa"/>
            <w:vMerge/>
          </w:tcPr>
          <w:p w:rsidR="004F4A49" w:rsidRPr="0008323D" w:rsidRDefault="004F4A49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0605" w:rsidRPr="0008323D" w:rsidTr="00576C7F">
        <w:trPr>
          <w:trHeight w:val="379"/>
        </w:trPr>
        <w:tc>
          <w:tcPr>
            <w:tcW w:w="10490" w:type="dxa"/>
            <w:gridSpan w:val="4"/>
            <w:vAlign w:val="center"/>
          </w:tcPr>
          <w:p w:rsidR="00350605" w:rsidRPr="0008323D" w:rsidRDefault="00350605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Оказание услуг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Состав работ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Обучение пользователей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очное обучение специалистов Заказчика работы с программным комплексом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Наполнение банка данных кадастровых сведений о земельных участках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внесение в базу данных актуальных сведений о земельных участках на территории Тверской области в объеме выгрузки сведений Единого государственного реестра недвижимости (далее – ЕГРН) и сведений Управления Федеральной налоговой службы (далее – УФНС) в рамках заключенного соглашения, выверка данных, включая:</w:t>
            </w:r>
          </w:p>
          <w:p w:rsidR="00014F3C" w:rsidRPr="0008323D" w:rsidRDefault="00014F3C" w:rsidP="0008323D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проверку данных на непротиворечивость (наложения, неактуальные права);</w:t>
            </w:r>
          </w:p>
          <w:p w:rsidR="00014F3C" w:rsidRPr="0008323D" w:rsidRDefault="00014F3C" w:rsidP="0008323D">
            <w:pPr>
              <w:pStyle w:val="a4"/>
              <w:numPr>
                <w:ilvl w:val="0"/>
                <w:numId w:val="1"/>
              </w:numPr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генерация отчетных ведомостей по результатам проверок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Наполнение банка данных кадастровых сведений об объектах капитального строительства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внесение в базу данных актуальных сведений об ОКС (далее – объект капитального строительства), расположенных на территории Тверской области и стоящих на кадастровом учете в объеме данных ЕГРН и УФНС;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объединение баз данных земельных участков (далее – ЗУ) и объектов капитального строительства (далее – ОКС) (сопоставление по адресным элементам или по контуру);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 xml:space="preserve">генерация отчетных ведомостей по анализу ОКС с выявлениями выпадающего дохода от имущественного </w:t>
            </w:r>
            <w:r w:rsidRPr="0008323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налога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Выявление земельных участков</w:t>
            </w:r>
            <w:r w:rsidR="0008323D"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, не являющихся объектами налогообложения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совмещение материалов ЕГРН</w:t>
            </w:r>
            <w:r w:rsidR="0008323D" w:rsidRPr="0008323D">
              <w:rPr>
                <w:rFonts w:ascii="Times New Roman" w:hAnsi="Times New Roman" w:cs="Times New Roman"/>
                <w:sz w:val="28"/>
                <w:szCs w:val="28"/>
              </w:rPr>
              <w:t>, УФНС</w:t>
            </w: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 xml:space="preserve"> и съемки территории и выявление земельных участков, не числящихся в базе ЕГРН</w:t>
            </w:r>
            <w:r w:rsidR="0008323D" w:rsidRPr="0008323D">
              <w:rPr>
                <w:rFonts w:ascii="Times New Roman" w:hAnsi="Times New Roman" w:cs="Times New Roman"/>
                <w:sz w:val="28"/>
                <w:szCs w:val="28"/>
              </w:rPr>
              <w:t>, УФНС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Наполнение банка данных адресного реестра объектов недвижимости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создание и нормализация адресной привязки ОКС и земельных участков, формирование адресного справочника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выявление ошибок в написании адреса и составление отчета об ошибках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Проведение космической съемки территории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поставка и обработка данных космической съемки сверхвысокого разрешения 50 см на территорию муниципального образования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Выявление объектов капитального строительства, не стоящих на кадастровом учете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сбор информации об объектах капитального строительства, строений, сооружений и помещений из разных источников;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формирование реестра по спутниковой съемке объектов с признаками ОКС с присвоением условных номеров, и привязка существующим объектам стоящих на кадастровом учете;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генерация отчетных ведомостей по расхождению ОКС стоящих на ГКУ (далее – государственный кадастровый учет) и возможных «</w:t>
            </w:r>
            <w:proofErr w:type="spellStart"/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самостроев</w:t>
            </w:r>
            <w:proofErr w:type="spellEnd"/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».</w:t>
            </w:r>
          </w:p>
        </w:tc>
      </w:tr>
      <w:tr w:rsidR="00014F3C" w:rsidRPr="0008323D" w:rsidTr="00014F3C">
        <w:tc>
          <w:tcPr>
            <w:tcW w:w="3403" w:type="dxa"/>
            <w:vAlign w:val="center"/>
          </w:tcPr>
          <w:p w:rsidR="00014F3C" w:rsidRPr="0008323D" w:rsidRDefault="00014F3C" w:rsidP="0008323D">
            <w:pPr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b/>
                <w:sz w:val="28"/>
                <w:szCs w:val="28"/>
              </w:rPr>
              <w:t>Услуги по техническому обслуживанию Системы</w:t>
            </w:r>
          </w:p>
        </w:tc>
        <w:tc>
          <w:tcPr>
            <w:tcW w:w="7087" w:type="dxa"/>
            <w:gridSpan w:val="3"/>
          </w:tcPr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Поддержание общей функциональности и работоспособности Системы;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Удаленное консультирование специалистов по работе с программным комплексом;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Обновление программного комплекса по мере появления изменений и дополнений (релизы);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Консультация специалистов Заказчика по вопросам мобилизации доходов от налоговых поступлений и взаимодействию с Федеральными органами (</w:t>
            </w:r>
            <w:proofErr w:type="spellStart"/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Росреестр</w:t>
            </w:r>
            <w:proofErr w:type="spellEnd"/>
            <w:r w:rsidRPr="0008323D">
              <w:rPr>
                <w:rFonts w:ascii="Times New Roman" w:hAnsi="Times New Roman" w:cs="Times New Roman"/>
                <w:sz w:val="28"/>
                <w:szCs w:val="28"/>
              </w:rPr>
              <w:t>, ФНС)</w:t>
            </w:r>
          </w:p>
          <w:p w:rsidR="00014F3C" w:rsidRPr="0008323D" w:rsidRDefault="00014F3C" w:rsidP="0008323D">
            <w:pPr>
              <w:contextualSpacing/>
              <w:jc w:val="both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</w:p>
        </w:tc>
      </w:tr>
    </w:tbl>
    <w:p w:rsidR="004F4A49" w:rsidRPr="0008323D" w:rsidRDefault="004F4A49" w:rsidP="00083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323D" w:rsidRDefault="0008323D" w:rsidP="0008323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>Нормативная и нормативно-правовая база для оказания услуг.</w:t>
      </w:r>
    </w:p>
    <w:p w:rsidR="0008323D" w:rsidRPr="0008323D" w:rsidRDefault="0008323D" w:rsidP="0008323D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23D" w:rsidRPr="0008323D" w:rsidRDefault="0008323D" w:rsidP="0008323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При оказании услуг должны учитываться в необходимом объёме следующие нормативные документы:</w:t>
      </w:r>
    </w:p>
    <w:p w:rsidR="0008323D" w:rsidRPr="0008323D" w:rsidRDefault="0008323D" w:rsidP="0008323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1)</w:t>
      </w:r>
      <w:r w:rsidRPr="0008323D">
        <w:rPr>
          <w:rFonts w:ascii="Times New Roman" w:hAnsi="Times New Roman" w:cs="Times New Roman"/>
          <w:sz w:val="28"/>
          <w:szCs w:val="28"/>
        </w:rPr>
        <w:tab/>
        <w:t>Земельный кодекс РФ.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08323D">
        <w:rPr>
          <w:rFonts w:ascii="Times New Roman" w:hAnsi="Times New Roman" w:cs="Times New Roman"/>
          <w:sz w:val="28"/>
          <w:szCs w:val="28"/>
        </w:rPr>
        <w:tab/>
        <w:t>Налоговый кодекс РФ.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3)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06.10.1999 г. №184-ФЗ «Об общих принципах организации законодательных (представительных) и исполнительных органов государственной власти субъектов Российской Федерации».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4)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06.10.2003 г. №131-ФЗ «Об общих принципах организации местного самоуправления в Российской Федерации».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5)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РФ от 29.12.2004 г. №190-ФЗ «Градостроительный кодекс Российской Федерации».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6)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27.07.2006 г. №149-ФЗ «Об информации, информационных технологиях и о защите информации».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7)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24.07.2007 г. №221-ФЗ «О государственном кадастре недвижимости».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8)</w:t>
      </w:r>
      <w:r w:rsidRPr="0008323D">
        <w:rPr>
          <w:rFonts w:ascii="Times New Roman" w:hAnsi="Times New Roman" w:cs="Times New Roman"/>
          <w:sz w:val="28"/>
          <w:szCs w:val="28"/>
        </w:rPr>
        <w:tab/>
        <w:t>Приказ от 24.03.2008 г. №34 Министерства информационных технологий и связи Российской Федерации «Об утверждении перечня типовых программно-технических решений в сфере региональной информатизации».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9)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09.02.2009 г. №8-ФЗ «Об обеспечении доступа к информации о деятельности государственных органов и органов местного самоуправления».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10)</w:t>
      </w:r>
      <w:r w:rsidRPr="0008323D">
        <w:rPr>
          <w:rFonts w:ascii="Times New Roman" w:hAnsi="Times New Roman" w:cs="Times New Roman"/>
          <w:sz w:val="28"/>
          <w:szCs w:val="28"/>
        </w:rPr>
        <w:tab/>
        <w:t>Приказ Минэкономразвития России от 04.02.2010 г. №42 «Об утверждении Порядка ведения государственного кадастра недвижимости».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11)</w:t>
      </w:r>
      <w:r w:rsidRPr="0008323D">
        <w:rPr>
          <w:rFonts w:ascii="Times New Roman" w:hAnsi="Times New Roman" w:cs="Times New Roman"/>
          <w:sz w:val="28"/>
          <w:szCs w:val="28"/>
        </w:rPr>
        <w:tab/>
        <w:t>Федеральный закон от 27.07.2010 г. №210-ФЗ «Об организации предоставления государственных и муниципальных услуг».</w:t>
      </w:r>
    </w:p>
    <w:p w:rsid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>Нормативно-техническая документация.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При составлении документации должны у</w:t>
      </w:r>
      <w:r>
        <w:rPr>
          <w:rFonts w:ascii="Times New Roman" w:hAnsi="Times New Roman" w:cs="Times New Roman"/>
          <w:sz w:val="28"/>
          <w:szCs w:val="28"/>
        </w:rPr>
        <w:t>читываться следующие нормативно</w:t>
      </w:r>
      <w:r w:rsidRPr="0008323D">
        <w:rPr>
          <w:rFonts w:ascii="Times New Roman" w:hAnsi="Times New Roman" w:cs="Times New Roman"/>
          <w:sz w:val="28"/>
          <w:szCs w:val="28"/>
        </w:rPr>
        <w:t>-технические документы: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1)</w:t>
      </w:r>
      <w:r w:rsidRPr="0008323D">
        <w:rPr>
          <w:rFonts w:ascii="Times New Roman" w:hAnsi="Times New Roman" w:cs="Times New Roman"/>
          <w:sz w:val="28"/>
          <w:szCs w:val="28"/>
        </w:rPr>
        <w:tab/>
        <w:t>ГОСТ 19.201-78.</w:t>
      </w:r>
      <w:r w:rsidRPr="0008323D">
        <w:rPr>
          <w:rFonts w:ascii="Times New Roman" w:hAnsi="Times New Roman" w:cs="Times New Roman"/>
          <w:sz w:val="28"/>
          <w:szCs w:val="28"/>
        </w:rPr>
        <w:tab/>
        <w:t>Техническое задание. Требования к содержанию и оформлению.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2)</w:t>
      </w:r>
      <w:r w:rsidRPr="0008323D">
        <w:rPr>
          <w:rFonts w:ascii="Times New Roman" w:hAnsi="Times New Roman" w:cs="Times New Roman"/>
          <w:sz w:val="28"/>
          <w:szCs w:val="28"/>
        </w:rPr>
        <w:tab/>
        <w:t>ГОСТ 34.201-89.</w:t>
      </w:r>
      <w:r w:rsidRPr="0008323D">
        <w:rPr>
          <w:rFonts w:ascii="Times New Roman" w:hAnsi="Times New Roman" w:cs="Times New Roman"/>
          <w:sz w:val="28"/>
          <w:szCs w:val="28"/>
        </w:rPr>
        <w:tab/>
        <w:t>Информационная технология. Комплекс стандартов на автоматизированные системы. Виды, комплексность и обозначение документов при создании автоматизированных систем.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3)</w:t>
      </w:r>
      <w:r w:rsidRPr="0008323D">
        <w:rPr>
          <w:rFonts w:ascii="Times New Roman" w:hAnsi="Times New Roman" w:cs="Times New Roman"/>
          <w:sz w:val="28"/>
          <w:szCs w:val="28"/>
        </w:rPr>
        <w:tab/>
        <w:t>ГОСТ 34.601-90.</w:t>
      </w:r>
      <w:r w:rsidRPr="0008323D">
        <w:rPr>
          <w:rFonts w:ascii="Times New Roman" w:hAnsi="Times New Roman" w:cs="Times New Roman"/>
          <w:sz w:val="28"/>
          <w:szCs w:val="28"/>
        </w:rPr>
        <w:tab/>
        <w:t>Комплекс стандартов на автоматизированные системы. Автоматизированные системы. Стадии создания.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4)</w:t>
      </w:r>
      <w:r w:rsidRPr="0008323D">
        <w:rPr>
          <w:rFonts w:ascii="Times New Roman" w:hAnsi="Times New Roman" w:cs="Times New Roman"/>
          <w:sz w:val="28"/>
          <w:szCs w:val="28"/>
        </w:rPr>
        <w:tab/>
        <w:t>РД 50-34.698-90. Методические указания. Информационная технология. Комплекс стандартов на автоматизированные системы. Автоматизированные системы. Требования к содержанию документов и т.д.</w:t>
      </w:r>
    </w:p>
    <w:p w:rsid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>Требования к системе в целом.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должна удовлетворять следующим общим требованиям: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1)</w:t>
      </w:r>
      <w:r w:rsidRPr="0008323D">
        <w:rPr>
          <w:rFonts w:ascii="Times New Roman" w:hAnsi="Times New Roman" w:cs="Times New Roman"/>
          <w:sz w:val="28"/>
          <w:szCs w:val="28"/>
        </w:rPr>
        <w:tab/>
        <w:t>Масштабируемость – способность к увеличению функциональных возможностей системы путем наращивания числа функциональных блоков, выполняющих одни и те же задачи.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lastRenderedPageBreak/>
        <w:t>2)</w:t>
      </w:r>
      <w:r w:rsidRPr="0008323D">
        <w:rPr>
          <w:rFonts w:ascii="Times New Roman" w:hAnsi="Times New Roman" w:cs="Times New Roman"/>
          <w:sz w:val="28"/>
          <w:szCs w:val="28"/>
        </w:rPr>
        <w:tab/>
        <w:t xml:space="preserve">Самодостаточность – реализация функциональной завершённости и независимости развития компонентов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08323D">
        <w:rPr>
          <w:rFonts w:ascii="Times New Roman" w:hAnsi="Times New Roman" w:cs="Times New Roman"/>
          <w:sz w:val="28"/>
          <w:szCs w:val="28"/>
        </w:rPr>
        <w:t>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3)</w:t>
      </w:r>
      <w:r w:rsidRPr="0008323D">
        <w:rPr>
          <w:rFonts w:ascii="Times New Roman" w:hAnsi="Times New Roman" w:cs="Times New Roman"/>
          <w:sz w:val="28"/>
          <w:szCs w:val="28"/>
        </w:rPr>
        <w:tab/>
        <w:t>Надёжность</w:t>
      </w:r>
      <w:r w:rsidRPr="0008323D">
        <w:rPr>
          <w:rFonts w:ascii="Times New Roman" w:hAnsi="Times New Roman" w:cs="Times New Roman"/>
          <w:sz w:val="28"/>
          <w:szCs w:val="28"/>
        </w:rPr>
        <w:tab/>
        <w:t>– способность выполнять свои функции в заданных условиях эксплуатации.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4)</w:t>
      </w:r>
      <w:r w:rsidRPr="0008323D">
        <w:rPr>
          <w:rFonts w:ascii="Times New Roman" w:hAnsi="Times New Roman" w:cs="Times New Roman"/>
          <w:sz w:val="28"/>
          <w:szCs w:val="28"/>
        </w:rPr>
        <w:tab/>
        <w:t>Адаптивность – способность выполнять свои функции при меняющихся условиях эксплуатации.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5)</w:t>
      </w:r>
      <w:r w:rsidRPr="0008323D">
        <w:rPr>
          <w:rFonts w:ascii="Times New Roman" w:hAnsi="Times New Roman" w:cs="Times New Roman"/>
          <w:sz w:val="28"/>
          <w:szCs w:val="28"/>
        </w:rPr>
        <w:tab/>
        <w:t>Унификация – использование типовых проектных решений.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6)</w:t>
      </w:r>
      <w:r w:rsidRPr="0008323D">
        <w:rPr>
          <w:rFonts w:ascii="Times New Roman" w:hAnsi="Times New Roman" w:cs="Times New Roman"/>
          <w:sz w:val="28"/>
          <w:szCs w:val="28"/>
        </w:rPr>
        <w:tab/>
        <w:t>Экономичность – обеспечение необходимой функциональности при заданных ограничениях на стоимость создания, эксплуатации и сопровождения.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7)</w:t>
      </w:r>
      <w:r w:rsidRPr="0008323D">
        <w:rPr>
          <w:rFonts w:ascii="Times New Roman" w:hAnsi="Times New Roman" w:cs="Times New Roman"/>
          <w:sz w:val="28"/>
          <w:szCs w:val="28"/>
        </w:rPr>
        <w:tab/>
        <w:t>Безопасность</w:t>
      </w:r>
      <w:r w:rsidRPr="0008323D">
        <w:rPr>
          <w:rFonts w:ascii="Times New Roman" w:hAnsi="Times New Roman" w:cs="Times New Roman"/>
          <w:sz w:val="28"/>
          <w:szCs w:val="28"/>
        </w:rPr>
        <w:tab/>
        <w:t xml:space="preserve"> – способность противостоять попыткам несанкционированного доступа.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 xml:space="preserve">В качестве базовой архитектуры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должно использоваться построение компонентов по многоуровневой схеме, предполагающей наличие:</w:t>
      </w:r>
    </w:p>
    <w:p w:rsidR="0008323D" w:rsidRPr="0008323D" w:rsidRDefault="0008323D" w:rsidP="0008323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комплекса функциональных подсистем, обеспечивающих деятельность Заказчика в сфере земельно-имущественных отношений;</w:t>
      </w:r>
    </w:p>
    <w:p w:rsidR="0008323D" w:rsidRPr="0008323D" w:rsidRDefault="0008323D" w:rsidP="0008323D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комплекса технологических подсистем, обеспечивающих функционирование составных частей системы.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 xml:space="preserve">При создании подсистем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должны быть проведены процессы интеграции и взаимодействия составных частей системы.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>Показатели назначения системы.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ab/>
        <w:t>В качестве показателей назначения используются следующие параметры, характеризующие соответствие системы ее назначению: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1)</w:t>
      </w:r>
      <w:r w:rsidRPr="000832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должна обеспечивать функционирование всех составных частей независимо от изменений, при условии их взаимной </w:t>
      </w:r>
      <w:proofErr w:type="spellStart"/>
      <w:r w:rsidRPr="0008323D">
        <w:rPr>
          <w:rFonts w:ascii="Times New Roman" w:hAnsi="Times New Roman" w:cs="Times New Roman"/>
          <w:sz w:val="28"/>
          <w:szCs w:val="28"/>
        </w:rPr>
        <w:t>непринципиальности</w:t>
      </w:r>
      <w:proofErr w:type="spellEnd"/>
      <w:r w:rsidRPr="0008323D">
        <w:rPr>
          <w:rFonts w:ascii="Times New Roman" w:hAnsi="Times New Roman" w:cs="Times New Roman"/>
          <w:sz w:val="28"/>
          <w:szCs w:val="28"/>
        </w:rPr>
        <w:t>;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2)</w:t>
      </w:r>
      <w:r w:rsidRPr="0008323D">
        <w:rPr>
          <w:rFonts w:ascii="Times New Roman" w:hAnsi="Times New Roman" w:cs="Times New Roman"/>
          <w:sz w:val="28"/>
          <w:szCs w:val="28"/>
        </w:rPr>
        <w:tab/>
        <w:t xml:space="preserve">архитектурные и проектные решения, реализуемые в </w:t>
      </w:r>
      <w:r>
        <w:rPr>
          <w:rFonts w:ascii="Times New Roman" w:hAnsi="Times New Roman" w:cs="Times New Roman"/>
          <w:sz w:val="28"/>
          <w:szCs w:val="28"/>
        </w:rPr>
        <w:t>системе</w:t>
      </w:r>
      <w:r w:rsidRPr="0008323D">
        <w:rPr>
          <w:rFonts w:ascii="Times New Roman" w:hAnsi="Times New Roman" w:cs="Times New Roman"/>
          <w:sz w:val="28"/>
          <w:szCs w:val="28"/>
        </w:rPr>
        <w:t>, должны обеспечивать штатную работу аппаратно-программных средств в течение всего срока эксплуатации при условии соблюдения условий и регламентов, описанных в документации на систему;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3)</w:t>
      </w:r>
      <w:r w:rsidRPr="000832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должна обеспечивать высокую степень приспособляемости к изменению процессов и методов управления;</w:t>
      </w:r>
    </w:p>
    <w:p w:rsid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8323D">
        <w:rPr>
          <w:rFonts w:ascii="Times New Roman" w:hAnsi="Times New Roman" w:cs="Times New Roman"/>
          <w:sz w:val="28"/>
          <w:szCs w:val="28"/>
        </w:rPr>
        <w:t>4)</w:t>
      </w:r>
      <w:r w:rsidRPr="0008323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Pr="0008323D">
        <w:rPr>
          <w:rFonts w:ascii="Times New Roman" w:hAnsi="Times New Roman" w:cs="Times New Roman"/>
          <w:sz w:val="28"/>
          <w:szCs w:val="28"/>
        </w:rPr>
        <w:t xml:space="preserve"> должна иметь высокую степень развития и модернизации за счёт многоуровневой структуры ПО.</w:t>
      </w:r>
    </w:p>
    <w:p w:rsid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323D" w:rsidRPr="0008323D" w:rsidRDefault="0008323D" w:rsidP="0008323D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323D">
        <w:rPr>
          <w:rFonts w:ascii="Times New Roman" w:hAnsi="Times New Roman" w:cs="Times New Roman"/>
          <w:b/>
          <w:sz w:val="28"/>
          <w:szCs w:val="28"/>
        </w:rPr>
        <w:t xml:space="preserve">Алгоритм организации работы органов </w:t>
      </w:r>
      <w:r w:rsidR="00C74911">
        <w:rPr>
          <w:rFonts w:ascii="Times New Roman" w:hAnsi="Times New Roman" w:cs="Times New Roman"/>
          <w:b/>
          <w:sz w:val="28"/>
          <w:szCs w:val="28"/>
        </w:rPr>
        <w:t xml:space="preserve">государственной </w:t>
      </w:r>
      <w:r w:rsidRPr="0008323D">
        <w:rPr>
          <w:rFonts w:ascii="Times New Roman" w:hAnsi="Times New Roman" w:cs="Times New Roman"/>
          <w:b/>
          <w:sz w:val="28"/>
          <w:szCs w:val="28"/>
        </w:rPr>
        <w:t xml:space="preserve">власти и местного самоуправления в целях реализации задачи по вовлечению объектов недвижимости в налоговый оборот 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74911" w:rsidRDefault="00C74911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внедрения вышеуказанной системы перед органами государственной власти и органами местного самоуправления встанет задача по реализации следующего комплекса мероприятий: 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>
        <w:rPr>
          <w:rFonts w:ascii="Times New Roman" w:hAnsi="Times New Roman" w:cs="Times New Roman"/>
          <w:sz w:val="28"/>
          <w:szCs w:val="28"/>
        </w:rPr>
        <w:t xml:space="preserve">. Отображение в программе объектов налогообложения, не отображенных на публичной кадастровой карте и предположительно выпадающих из налогового оборота. </w:t>
      </w:r>
    </w:p>
    <w:p w:rsidR="0008323D" w:rsidRPr="008D4321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>
        <w:rPr>
          <w:rFonts w:ascii="Times New Roman" w:hAnsi="Times New Roman" w:cs="Times New Roman"/>
          <w:sz w:val="28"/>
          <w:szCs w:val="28"/>
        </w:rPr>
        <w:t xml:space="preserve">. Создание проектных офисов, состоящих из представителей ОМС, специалистов налоговой службы, ГБУ «Центр кадастровой оценки», Полиции. 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Пообъектный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обход выявленных объектов налогообложения в целях: 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D4321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уточнения наличия прав на земельные участки и уведомление собственника о необходимости регистрации прав в ЕГРН;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уточнения наличия зарегистрированных прав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ОКСы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отражение полученной информации на карте. В случае если права не зарегистрированы - уведомление собственника о необходимости регистрации прав в ЕГРН. </w:t>
      </w:r>
    </w:p>
    <w:p w:rsidR="0008323D" w:rsidRDefault="0008323D" w:rsidP="0008323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Мониторинг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Минимуществом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 и ГБУ «Центр кадастровой оценки» ситуации по оформлению правообладателями прав в ЕГРН и продолжение работы по регулярному уведомлению правообладателей, проведение разъяснительной работы. </w:t>
      </w:r>
    </w:p>
    <w:p w:rsidR="0008323D" w:rsidRDefault="0008323D" w:rsidP="0008323D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8323D" w:rsidRPr="008C3464" w:rsidRDefault="0008323D" w:rsidP="0008323D">
      <w:pPr>
        <w:spacing w:after="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323D" w:rsidRPr="0008323D" w:rsidRDefault="0008323D" w:rsidP="0008323D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08323D" w:rsidRPr="0008323D" w:rsidSect="00F90B7B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22F36"/>
    <w:multiLevelType w:val="hybridMultilevel"/>
    <w:tmpl w:val="89305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49"/>
    <w:rsid w:val="00007F8A"/>
    <w:rsid w:val="00014F3C"/>
    <w:rsid w:val="00025BC6"/>
    <w:rsid w:val="00061CE0"/>
    <w:rsid w:val="0008323D"/>
    <w:rsid w:val="000A5FE6"/>
    <w:rsid w:val="00106749"/>
    <w:rsid w:val="0013163D"/>
    <w:rsid w:val="00150F64"/>
    <w:rsid w:val="001C3436"/>
    <w:rsid w:val="001E1CBA"/>
    <w:rsid w:val="001F369F"/>
    <w:rsid w:val="002176A5"/>
    <w:rsid w:val="0026519D"/>
    <w:rsid w:val="002F67DC"/>
    <w:rsid w:val="00350605"/>
    <w:rsid w:val="003B7B70"/>
    <w:rsid w:val="00400584"/>
    <w:rsid w:val="004F4A49"/>
    <w:rsid w:val="0053328B"/>
    <w:rsid w:val="00576C7F"/>
    <w:rsid w:val="0059296D"/>
    <w:rsid w:val="005A09DA"/>
    <w:rsid w:val="005C5631"/>
    <w:rsid w:val="005E0752"/>
    <w:rsid w:val="00625BBB"/>
    <w:rsid w:val="00673FDB"/>
    <w:rsid w:val="006845C7"/>
    <w:rsid w:val="006C43DA"/>
    <w:rsid w:val="006C56FB"/>
    <w:rsid w:val="006E03E7"/>
    <w:rsid w:val="00855130"/>
    <w:rsid w:val="00855633"/>
    <w:rsid w:val="008A05B3"/>
    <w:rsid w:val="008B1986"/>
    <w:rsid w:val="00903F07"/>
    <w:rsid w:val="00912922"/>
    <w:rsid w:val="009262F6"/>
    <w:rsid w:val="00931939"/>
    <w:rsid w:val="0095669B"/>
    <w:rsid w:val="00994D99"/>
    <w:rsid w:val="009B078F"/>
    <w:rsid w:val="009E255E"/>
    <w:rsid w:val="00A53D46"/>
    <w:rsid w:val="00AC03BF"/>
    <w:rsid w:val="00B52006"/>
    <w:rsid w:val="00C74911"/>
    <w:rsid w:val="00C75F1E"/>
    <w:rsid w:val="00C8551C"/>
    <w:rsid w:val="00C92AA8"/>
    <w:rsid w:val="00CE71DD"/>
    <w:rsid w:val="00CF0DBB"/>
    <w:rsid w:val="00D77B58"/>
    <w:rsid w:val="00E145DB"/>
    <w:rsid w:val="00E21679"/>
    <w:rsid w:val="00E70298"/>
    <w:rsid w:val="00ED645E"/>
    <w:rsid w:val="00F42F9C"/>
    <w:rsid w:val="00F90B7B"/>
    <w:rsid w:val="00FB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676071-53F3-4132-85D5-5E36E3898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F4A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9E25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1318</Words>
  <Characters>7517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CevanYV</dc:creator>
  <cp:lastModifiedBy>Кирилл Борисович Доля</cp:lastModifiedBy>
  <cp:revision>2</cp:revision>
  <dcterms:created xsi:type="dcterms:W3CDTF">2019-02-08T07:36:00Z</dcterms:created>
  <dcterms:modified xsi:type="dcterms:W3CDTF">2019-02-08T07:36:00Z</dcterms:modified>
</cp:coreProperties>
</file>