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0B" w:rsidRDefault="0027500B" w:rsidP="0027500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14.03.2022</w:t>
      </w:r>
    </w:p>
    <w:p w:rsidR="0027500B" w:rsidRDefault="0027500B" w:rsidP="002750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7500B" w:rsidRDefault="0027500B" w:rsidP="002750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</w:t>
      </w:r>
      <w:r w:rsidR="00893346">
        <w:rPr>
          <w:rFonts w:ascii="Times New Roman" w:eastAsia="Calibri" w:hAnsi="Times New Roman" w:cs="Times New Roman"/>
          <w:b/>
          <w:iCs/>
          <w:sz w:val="32"/>
          <w:szCs w:val="32"/>
        </w:rPr>
        <w:t>остановление от 12.03.2022 № 3</w:t>
      </w:r>
      <w:r w:rsidR="00893346" w:rsidRPr="00893346">
        <w:rPr>
          <w:rFonts w:ascii="Times New Roman" w:eastAsia="Calibri" w:hAnsi="Times New Roman" w:cs="Times New Roman"/>
          <w:b/>
          <w:iCs/>
          <w:sz w:val="32"/>
          <w:szCs w:val="32"/>
        </w:rPr>
        <w:t>51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893346" w:rsidRPr="00893346">
        <w:rPr>
          <w:rFonts w:ascii="Times New Roman" w:eastAsia="Calibri" w:hAnsi="Times New Roman" w:cs="Times New Roman"/>
          <w:b/>
          <w:iCs/>
          <w:sz w:val="32"/>
          <w:szCs w:val="32"/>
        </w:rPr>
        <w:t>Об особенностях раскрытия и предоставления в 2022 году информации, подлежащей раскрытию и предоставлению в соответствии с требованиями Федерального зак</w:t>
      </w:r>
      <w:r w:rsidR="00280127">
        <w:rPr>
          <w:rFonts w:ascii="Times New Roman" w:eastAsia="Calibri" w:hAnsi="Times New Roman" w:cs="Times New Roman"/>
          <w:b/>
          <w:iCs/>
          <w:sz w:val="32"/>
          <w:szCs w:val="32"/>
        </w:rPr>
        <w:t>она «</w:t>
      </w:r>
      <w:r w:rsidR="00893346" w:rsidRPr="00893346">
        <w:rPr>
          <w:rFonts w:ascii="Times New Roman" w:eastAsia="Calibri" w:hAnsi="Times New Roman" w:cs="Times New Roman"/>
          <w:b/>
          <w:iCs/>
          <w:sz w:val="32"/>
          <w:szCs w:val="32"/>
        </w:rPr>
        <w:t>Об акционерных об</w:t>
      </w:r>
      <w:r w:rsidR="00280127">
        <w:rPr>
          <w:rFonts w:ascii="Times New Roman" w:eastAsia="Calibri" w:hAnsi="Times New Roman" w:cs="Times New Roman"/>
          <w:b/>
          <w:iCs/>
          <w:sz w:val="32"/>
          <w:szCs w:val="32"/>
        </w:rPr>
        <w:t>ществах» и Федерального закона «О рынке ценных бумаг»</w:t>
      </w:r>
      <w:r w:rsidR="00893346" w:rsidRPr="00893346">
        <w:rPr>
          <w:rFonts w:ascii="Times New Roman" w:eastAsia="Calibri" w:hAnsi="Times New Roman" w:cs="Times New Roman"/>
          <w:b/>
          <w:iCs/>
          <w:sz w:val="32"/>
          <w:szCs w:val="32"/>
        </w:rPr>
        <w:t>, и особенностях раскрытия инсайдерской информации в соответствии с тр</w:t>
      </w:r>
      <w:r w:rsidR="00280127">
        <w:rPr>
          <w:rFonts w:ascii="Times New Roman" w:eastAsia="Calibri" w:hAnsi="Times New Roman" w:cs="Times New Roman"/>
          <w:b/>
          <w:iCs/>
          <w:sz w:val="32"/>
          <w:szCs w:val="32"/>
        </w:rPr>
        <w:t>ебованиями Федерального закона «</w:t>
      </w:r>
      <w:r w:rsidR="00893346" w:rsidRPr="00893346">
        <w:rPr>
          <w:rFonts w:ascii="Times New Roman" w:eastAsia="Calibri" w:hAnsi="Times New Roman" w:cs="Times New Roman"/>
          <w:b/>
          <w:iCs/>
          <w:sz w:val="32"/>
          <w:szCs w:val="32"/>
        </w:rPr>
        <w:t>О противодействии неправомерному использованию инсайдерской информации и манипулированию рынком и о внесении изменений в отдельные законодате</w:t>
      </w:r>
      <w:r w:rsidR="00893346">
        <w:rPr>
          <w:rFonts w:ascii="Times New Roman" w:eastAsia="Calibri" w:hAnsi="Times New Roman" w:cs="Times New Roman"/>
          <w:b/>
          <w:iCs/>
          <w:sz w:val="32"/>
          <w:szCs w:val="32"/>
        </w:rPr>
        <w:t>льные акты Российской Федерации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с </w:t>
      </w:r>
      <w:r w:rsidR="00893346" w:rsidRPr="00893346">
        <w:rPr>
          <w:rFonts w:ascii="Times New Roman" w:eastAsia="Calibri" w:hAnsi="Times New Roman" w:cs="Times New Roman"/>
          <w:iCs/>
          <w:sz w:val="32"/>
          <w:szCs w:val="32"/>
        </w:rPr>
        <w:t>даты официального опубликования, по состоянию на 14.03.2022 12:00 на Официальном интернет-портале правовой информации не опубликован</w:t>
      </w:r>
      <w:r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8A2633" w:rsidRDefault="008A2633" w:rsidP="007363F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p w:rsidR="008A2633" w:rsidRDefault="008A2633" w:rsidP="007363F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Установлено, что о</w:t>
      </w:r>
      <w:r w:rsidR="007363F5" w:rsidRPr="007363F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рганизации-эмитенты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вправе</w:t>
      </w:r>
      <w:r w:rsidR="007363F5" w:rsidRPr="007363F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не раскрывать частично или в полном объёме информацию о выпуске ценных бумаг. </w:t>
      </w:r>
    </w:p>
    <w:p w:rsidR="007363F5" w:rsidRDefault="007363F5" w:rsidP="007363F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7363F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Новый порядок касается информации об операциях в период с 1 января 2019 года по 31 декабря 2022 года.</w:t>
      </w:r>
    </w:p>
    <w:p w:rsidR="007363F5" w:rsidRPr="007363F5" w:rsidRDefault="007363F5" w:rsidP="007363F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7363F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Ранее с этой же целью Правительство разрешило компаниям – участникам </w:t>
      </w:r>
      <w:proofErr w:type="spellStart"/>
      <w:r w:rsidRPr="007363F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госзакупок</w:t>
      </w:r>
      <w:proofErr w:type="spellEnd"/>
      <w:r w:rsidRPr="007363F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не публиковать список своих контрагентов.</w:t>
      </w:r>
    </w:p>
    <w:p w:rsidR="000E2BF7" w:rsidRDefault="000E2BF7"/>
    <w:sectPr w:rsidR="000E2BF7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0B"/>
    <w:rsid w:val="000E2BF7"/>
    <w:rsid w:val="0027500B"/>
    <w:rsid w:val="00280127"/>
    <w:rsid w:val="00622E3E"/>
    <w:rsid w:val="007363F5"/>
    <w:rsid w:val="00893346"/>
    <w:rsid w:val="008A2633"/>
    <w:rsid w:val="00E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6667A-1DAE-45FC-824E-6566A7A8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2022-03-14T11:53:00Z</dcterms:created>
  <dcterms:modified xsi:type="dcterms:W3CDTF">2022-03-14T11:53:00Z</dcterms:modified>
</cp:coreProperties>
</file>