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6E" w:rsidRDefault="00A8636E" w:rsidP="00A8636E">
      <w:pPr>
        <w:shd w:val="clear" w:color="auto" w:fill="FFFFFF"/>
        <w:spacing w:before="100" w:beforeAutospacing="1" w:after="100" w:afterAutospacing="1" w:line="420" w:lineRule="atLeast"/>
        <w:textAlignment w:val="center"/>
        <w:outlineLvl w:val="0"/>
        <w:rPr>
          <w:rFonts w:ascii="Roboto" w:eastAsia="Times New Roman" w:hAnsi="Roboto" w:cs="Arial"/>
          <w:b/>
          <w:bCs/>
          <w:color w:val="000000"/>
          <w:kern w:val="36"/>
          <w:sz w:val="30"/>
          <w:szCs w:val="30"/>
          <w:lang w:eastAsia="ru-RU"/>
        </w:rPr>
      </w:pPr>
      <w:r>
        <w:rPr>
          <w:rFonts w:ascii="Roboto" w:eastAsia="Times New Roman" w:hAnsi="Roboto" w:cs="Arial"/>
          <w:b/>
          <w:bCs/>
          <w:color w:val="000000"/>
          <w:kern w:val="36"/>
          <w:sz w:val="30"/>
          <w:szCs w:val="30"/>
          <w:lang w:eastAsia="ru-RU"/>
        </w:rPr>
        <w:t xml:space="preserve">Газета Коммерсант </w:t>
      </w:r>
    </w:p>
    <w:p w:rsidR="00A8636E" w:rsidRPr="00A8636E" w:rsidRDefault="00A8636E" w:rsidP="00A8636E">
      <w:pPr>
        <w:shd w:val="clear" w:color="auto" w:fill="FFFFFF"/>
        <w:spacing w:before="100" w:beforeAutospacing="1" w:after="100" w:afterAutospacing="1" w:line="420" w:lineRule="atLeast"/>
        <w:textAlignment w:val="center"/>
        <w:outlineLvl w:val="0"/>
        <w:rPr>
          <w:rFonts w:ascii="Roboto" w:eastAsia="Times New Roman" w:hAnsi="Roboto" w:cs="Arial"/>
          <w:b/>
          <w:bCs/>
          <w:color w:val="000000"/>
          <w:kern w:val="36"/>
          <w:sz w:val="30"/>
          <w:szCs w:val="30"/>
          <w:lang w:eastAsia="ru-RU"/>
        </w:rPr>
      </w:pPr>
      <w:r w:rsidRPr="00A8636E">
        <w:rPr>
          <w:rFonts w:ascii="Roboto" w:eastAsia="Times New Roman" w:hAnsi="Roboto" w:cs="Arial"/>
          <w:b/>
          <w:bCs/>
          <w:color w:val="000000"/>
          <w:kern w:val="36"/>
          <w:sz w:val="30"/>
          <w:szCs w:val="30"/>
          <w:lang w:eastAsia="ru-RU"/>
        </w:rPr>
        <w:t>Расценки новой генерации</w:t>
      </w:r>
    </w:p>
    <w:p w:rsidR="00A8636E" w:rsidRPr="00A8636E" w:rsidRDefault="00A8636E" w:rsidP="00A8636E">
      <w:pPr>
        <w:shd w:val="clear" w:color="auto" w:fill="FFFFFF"/>
        <w:spacing w:before="100" w:beforeAutospacing="1" w:after="100" w:afterAutospacing="1" w:line="360" w:lineRule="atLeast"/>
        <w:textAlignment w:val="top"/>
        <w:rPr>
          <w:rFonts w:ascii="Roboto Slab" w:eastAsia="Times New Roman" w:hAnsi="Roboto Slab" w:cs="Arial"/>
          <w:sz w:val="26"/>
          <w:szCs w:val="26"/>
          <w:lang w:eastAsia="ru-RU"/>
        </w:rPr>
      </w:pPr>
      <w:r w:rsidRPr="00A8636E">
        <w:rPr>
          <w:rFonts w:ascii="Roboto Slab" w:eastAsia="Times New Roman" w:hAnsi="Roboto Slab" w:cs="Arial"/>
          <w:sz w:val="26"/>
          <w:szCs w:val="26"/>
          <w:lang w:eastAsia="ru-RU"/>
        </w:rPr>
        <w:t>Энергоснабжение промышленности резко подорожает.</w:t>
      </w:r>
    </w:p>
    <w:p w:rsidR="00A8636E" w:rsidRPr="00A8636E" w:rsidRDefault="00A8636E" w:rsidP="00A8636E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Arial"/>
          <w:sz w:val="23"/>
          <w:szCs w:val="23"/>
          <w:lang w:eastAsia="ru-RU"/>
        </w:rPr>
      </w:pPr>
      <w:r w:rsidRPr="00A8636E">
        <w:rPr>
          <w:rFonts w:ascii="Roboto" w:eastAsia="Times New Roman" w:hAnsi="Roboto" w:cs="Arial"/>
          <w:noProof/>
          <w:sz w:val="23"/>
          <w:szCs w:val="23"/>
          <w:lang w:eastAsia="ru-RU"/>
        </w:rPr>
        <w:drawing>
          <wp:inline distT="0" distB="0" distL="0" distR="0" wp14:anchorId="4B352233" wp14:editId="190F7E5C">
            <wp:extent cx="7429500" cy="4191000"/>
            <wp:effectExtent l="0" t="0" r="0" b="0"/>
            <wp:docPr id="9" name="Рисунок 9" descr="https://retina.news.mail.ru/prev780x440/pic/25/fd/image36003397_28e7a588bc2f88253420e89fb429bf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tina.news.mail.ru/prev780x440/pic/25/fd/image36003397_28e7a588bc2f88253420e89fb429bf6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6E" w:rsidRPr="00A8636E" w:rsidRDefault="00A8636E" w:rsidP="00A8636E">
      <w:pPr>
        <w:shd w:val="clear" w:color="auto" w:fill="FFFFFF"/>
        <w:spacing w:line="300" w:lineRule="atLeast"/>
        <w:textAlignment w:val="top"/>
        <w:rPr>
          <w:rFonts w:ascii="Roboto" w:eastAsia="Times New Roman" w:hAnsi="Roboto" w:cs="Arial"/>
          <w:color w:val="888888"/>
          <w:sz w:val="20"/>
          <w:szCs w:val="20"/>
          <w:lang w:eastAsia="ru-RU"/>
        </w:rPr>
      </w:pPr>
      <w:r w:rsidRPr="00A8636E">
        <w:rPr>
          <w:rFonts w:ascii="Roboto" w:eastAsia="Times New Roman" w:hAnsi="Roboto" w:cs="Arial"/>
          <w:color w:val="888888"/>
          <w:sz w:val="20"/>
          <w:szCs w:val="20"/>
          <w:lang w:eastAsia="ru-RU"/>
        </w:rPr>
        <w:t>Источник: РИА "Новости"</w:t>
      </w:r>
    </w:p>
    <w:p w:rsidR="00A8636E" w:rsidRPr="00A8636E" w:rsidRDefault="00A8636E" w:rsidP="00CC2AEE">
      <w:pPr>
        <w:shd w:val="clear" w:color="auto" w:fill="FFFFFF"/>
        <w:spacing w:before="100" w:beforeAutospacing="1" w:after="100" w:afterAutospacing="1"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b/>
          <w:bCs/>
          <w:sz w:val="32"/>
          <w:szCs w:val="32"/>
          <w:lang w:eastAsia="ru-RU"/>
        </w:rPr>
        <w:t>Необходимость возвращать энергетикам инвестиции в новую генерацию в 2019 году вызовет резкий рост энергоцен для промышленности. Так, мощность в европейской части РФ и на Урале может подорожать сразу на 18%, причем на </w:t>
      </w:r>
      <w:proofErr w:type="spellStart"/>
      <w:r w:rsidRPr="00A8636E">
        <w:rPr>
          <w:rFonts w:ascii="Roboto" w:eastAsia="Times New Roman" w:hAnsi="Roboto" w:cs="Arial"/>
          <w:b/>
          <w:bCs/>
          <w:sz w:val="32"/>
          <w:szCs w:val="32"/>
          <w:lang w:eastAsia="ru-RU"/>
        </w:rPr>
        <w:t>инвестнадбавки</w:t>
      </w:r>
      <w:proofErr w:type="spellEnd"/>
      <w:r w:rsidRPr="00A8636E">
        <w:rPr>
          <w:rFonts w:ascii="Roboto" w:eastAsia="Times New Roman" w:hAnsi="Roboto" w:cs="Arial"/>
          <w:b/>
          <w:bCs/>
          <w:sz w:val="32"/>
          <w:szCs w:val="32"/>
          <w:lang w:eastAsia="ru-RU"/>
        </w:rPr>
        <w:t xml:space="preserve"> в этом платеже будет приходиться более 70%. Регуляторы отмечают, что такой рост учтен в прогнозах, но потребители считают, что энергетика продолжает «изымать ресурсы для развития других отраслей».</w:t>
      </w:r>
    </w:p>
    <w:p w:rsidR="00A8636E" w:rsidRPr="00A8636E" w:rsidRDefault="00A8636E" w:rsidP="00CC2AEE">
      <w:pPr>
        <w:shd w:val="clear" w:color="auto" w:fill="FFFFFF"/>
        <w:spacing w:before="100" w:beforeAutospacing="1" w:after="100" w:afterAutospacing="1"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«Ъ» ознакомился с прогнозом оптовых цен на электроэнергию и мощность на 2019−2022 годы, данным «Советом рынка» (регулятор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энергорынков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) в конце 2018 года.</w:t>
      </w:r>
    </w:p>
    <w:p w:rsidR="00A8636E" w:rsidRPr="00A8636E" w:rsidRDefault="00A8636E" w:rsidP="00CC2AEE">
      <w:pPr>
        <w:shd w:val="clear" w:color="auto" w:fill="FFFFFF"/>
        <w:spacing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lastRenderedPageBreak/>
        <w:t>Речь идет о так называемых свободных (нерегулируемых) ценах (СНЦ) для 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промпотребителей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(кроме населения), на базе которых формируется выручка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генкомпаний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.</w:t>
      </w:r>
    </w:p>
    <w:p w:rsidR="00A8636E" w:rsidRPr="00A8636E" w:rsidRDefault="00A8636E" w:rsidP="00CC2AEE">
      <w:pPr>
        <w:shd w:val="clear" w:color="auto" w:fill="FFFFFF"/>
        <w:spacing w:before="100" w:beforeAutospacing="1" w:after="100" w:afterAutospacing="1"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В них не включены сетевые тарифы и маржа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энергосбытовых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компаний, на которые в среднем приходится порядка половины конечной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энергоцены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.</w:t>
      </w:r>
    </w:p>
    <w:p w:rsidR="00A8636E" w:rsidRPr="00A8636E" w:rsidRDefault="00A8636E" w:rsidP="00CC2AEE">
      <w:pPr>
        <w:shd w:val="clear" w:color="auto" w:fill="FFFFFF"/>
        <w:spacing w:line="300" w:lineRule="atLeast"/>
        <w:jc w:val="both"/>
        <w:textAlignment w:val="center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b/>
          <w:bCs/>
          <w:color w:val="000000"/>
          <w:sz w:val="32"/>
          <w:szCs w:val="32"/>
          <w:lang w:eastAsia="ru-RU"/>
        </w:rPr>
        <w:t>Читайте также</w:t>
      </w:r>
    </w:p>
    <w:p w:rsidR="00A8636E" w:rsidRPr="00A8636E" w:rsidRDefault="00A8636E" w:rsidP="00CC2AEE">
      <w:pPr>
        <w:shd w:val="clear" w:color="auto" w:fill="FFFFFF"/>
        <w:spacing w:after="0"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noProof/>
          <w:sz w:val="32"/>
          <w:szCs w:val="32"/>
          <w:lang w:eastAsia="ru-RU"/>
        </w:rPr>
        <w:drawing>
          <wp:inline distT="0" distB="0" distL="0" distR="0" wp14:anchorId="506DEE2B" wp14:editId="554F5B8E">
            <wp:extent cx="2181225" cy="1314450"/>
            <wp:effectExtent l="0" t="0" r="9525" b="0"/>
            <wp:docPr id="10" name="Рисунок 10" descr="https://retina.news.mail.ru/prev229x138/pic/8c/1e/main35833328_405c56be9ea90b403ee096808aec83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tina.news.mail.ru/prev229x138/pic/8c/1e/main35833328_405c56be9ea90b403ee096808aec83b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6E" w:rsidRPr="00A8636E" w:rsidRDefault="00A8636E" w:rsidP="00CC2AEE">
      <w:pPr>
        <w:shd w:val="clear" w:color="auto" w:fill="FFFFFF"/>
        <w:spacing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hyperlink r:id="rId6" w:history="1">
        <w:r w:rsidRPr="00A8636E">
          <w:rPr>
            <w:rFonts w:ascii="Roboto" w:eastAsia="Times New Roman" w:hAnsi="Roboto" w:cs="Arial"/>
            <w:color w:val="005BD1"/>
            <w:sz w:val="32"/>
            <w:szCs w:val="32"/>
            <w:lang w:eastAsia="ru-RU"/>
          </w:rPr>
          <w:t>Тарифы ЖКХ замкнуло на сетях</w:t>
        </w:r>
      </w:hyperlink>
    </w:p>
    <w:p w:rsidR="00A8636E" w:rsidRPr="00A8636E" w:rsidRDefault="00A8636E" w:rsidP="00CC2AEE">
      <w:pPr>
        <w:shd w:val="clear" w:color="auto" w:fill="FFFFFF"/>
        <w:spacing w:before="100" w:beforeAutospacing="1" w:after="100" w:afterAutospacing="1"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>Согласно прогнозу регулятора, в первой ценовой зоне (</w:t>
      </w:r>
      <w:bookmarkStart w:id="0" w:name="_GoBack"/>
      <w:r w:rsidRPr="00A8636E">
        <w:rPr>
          <w:rFonts w:ascii="Roboto" w:eastAsia="Times New Roman" w:hAnsi="Roboto" w:cs="Arial"/>
          <w:b/>
          <w:color w:val="FF0000"/>
          <w:sz w:val="32"/>
          <w:szCs w:val="32"/>
          <w:lang w:eastAsia="ru-RU"/>
        </w:rPr>
        <w:t>1ЦЗ,</w:t>
      </w:r>
      <w:bookmarkEnd w:id="0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европейская часть РФ и Урал) СНЦ на электроэнергию в 2019 году вырастет на 1,6%, </w:t>
      </w:r>
      <w:r w:rsidRPr="00A8636E">
        <w:rPr>
          <w:rFonts w:ascii="Roboto" w:eastAsia="Times New Roman" w:hAnsi="Roboto" w:cs="Arial"/>
          <w:b/>
          <w:color w:val="FF0000"/>
          <w:sz w:val="32"/>
          <w:szCs w:val="32"/>
          <w:u w:val="single"/>
          <w:lang w:eastAsia="ru-RU"/>
        </w:rPr>
        <w:t>а на мощность — сразу на 18%.</w:t>
      </w:r>
      <w:r w:rsidRPr="00A8636E">
        <w:rPr>
          <w:rFonts w:ascii="Roboto" w:eastAsia="Times New Roman" w:hAnsi="Roboto" w:cs="Arial"/>
          <w:color w:val="FF0000"/>
          <w:sz w:val="32"/>
          <w:szCs w:val="32"/>
          <w:lang w:eastAsia="ru-RU"/>
        </w:rPr>
        <w:t xml:space="preserve"> 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t>Во второй ценовой зоне (2ЦЗ, Сибирь) рост составит 3,3% и 5,6% соответственно. В дальнейшем рост СНЦ на мощность в европейской части страны несколько замедляется: 8,6%, 0,9% и 7,3% в 2020—2022 годах, в Сибири, наоборот, после подорожания мощности в 2020 году на 5,9% прогнозируется рост цены в 2021 году сразу на 11,8% и только на 2,2% — в 2022-м. Темпы роста СНЦ на электроэнергию в 2020—2022 годах более стабильны — 1,5%, 1,6% и 4,4% соответственно в 1ЦЗ и 3%, 2,1% и 2% в Сибири.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  <w:t xml:space="preserve">Оптовый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энергорынок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в России разбит на несколько частей, главными из которых являются рынки электроэнергии и мощности (на Дальнем Востоке и в ряде других регионов рынок не введен и продолжают действовать тарифы). Продажа мощности — фиксированные на несколько лет вперед платежи для «дешевой» генерации, прошедшей конкурентный отбор (КОМ) со своей ценовой заявкой. Эта плата не зависит от того, сколько времени электростанция реально вырабатывает энергию: наиболее дорогая генерация может включаться лишь на несколько пиковых часов в год. Торги электроэнергией идут ежедневно, оплачивается только реальная выработка, востребованная потребителями.</w:t>
      </w:r>
    </w:p>
    <w:p w:rsidR="00A8636E" w:rsidRPr="00A8636E" w:rsidRDefault="00A8636E" w:rsidP="00CC2AEE">
      <w:pPr>
        <w:shd w:val="clear" w:color="auto" w:fill="FFFFFF"/>
        <w:spacing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>Цены на электроэнергию обычно отражают в первую очередь стоимость топлива для ТЭС — тарифы на газ в 1ЦЗ и цену угля в Сибири.</w:t>
      </w:r>
    </w:p>
    <w:p w:rsidR="00A8636E" w:rsidRPr="00A8636E" w:rsidRDefault="00A8636E" w:rsidP="00CC2AEE">
      <w:pPr>
        <w:shd w:val="clear" w:color="auto" w:fill="FFFFFF"/>
        <w:spacing w:before="100" w:beforeAutospacing="1" w:after="100" w:afterAutospacing="1"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Но на рынке мощности на рыночный КОМ наложены многочисленные поправки на инвестиции и льготы. Здесь есть </w:t>
      </w:r>
      <w:r w:rsidRPr="00A8636E">
        <w:rPr>
          <w:rFonts w:ascii="Roboto" w:eastAsia="Times New Roman" w:hAnsi="Roboto" w:cs="Arial"/>
          <w:b/>
          <w:sz w:val="32"/>
          <w:szCs w:val="32"/>
          <w:lang w:eastAsia="ru-RU"/>
        </w:rPr>
        <w:t xml:space="preserve">надбавки к цене для возврата вложений в новые ТЭС, ГЭС и АЭС, а также в зеленую генерацию, энергетику </w:t>
      </w:r>
      <w:r w:rsidRPr="00A8636E">
        <w:rPr>
          <w:rFonts w:ascii="Roboto" w:eastAsia="Times New Roman" w:hAnsi="Roboto" w:cs="Arial"/>
          <w:b/>
          <w:sz w:val="32"/>
          <w:szCs w:val="32"/>
          <w:u w:val="single"/>
          <w:lang w:eastAsia="ru-RU"/>
        </w:rPr>
        <w:t>Калининградской области и Крыма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. За счет цены на мощность искусственно занижаются и энерготарифы </w:t>
      </w:r>
      <w:r w:rsidRPr="00A8636E">
        <w:rPr>
          <w:rFonts w:ascii="Roboto" w:eastAsia="Times New Roman" w:hAnsi="Roboto" w:cs="Arial"/>
          <w:b/>
          <w:sz w:val="32"/>
          <w:szCs w:val="32"/>
          <w:u w:val="single"/>
          <w:lang w:eastAsia="ru-RU"/>
        </w:rPr>
        <w:t>на Дальнем Востоке</w:t>
      </w:r>
      <w:r w:rsidRPr="00A8636E">
        <w:rPr>
          <w:rFonts w:ascii="Roboto" w:eastAsia="Times New Roman" w:hAnsi="Roboto" w:cs="Arial"/>
          <w:b/>
          <w:sz w:val="32"/>
          <w:szCs w:val="32"/>
          <w:lang w:eastAsia="ru-RU"/>
        </w:rPr>
        <w:t xml:space="preserve"> (32 млрд руб. в январе—ноябре 2019 года,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по оценке «Совета рынка»).</w:t>
      </w:r>
    </w:p>
    <w:p w:rsidR="00A8636E" w:rsidRPr="00A8636E" w:rsidRDefault="00A8636E" w:rsidP="00CC2AEE">
      <w:pPr>
        <w:shd w:val="clear" w:color="auto" w:fill="FFFFFF"/>
        <w:spacing w:before="100" w:beforeAutospacing="1" w:after="100" w:afterAutospacing="1"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>Именно эти надбавки и дают наибольший вклад в рост СНЦ в 2019 году, судя по материалам регулятора. Так, как рассчитал собеседник «Ъ» на рынке, из 18% роста цены на мощность в европейской части страны и на Урале в 2019 году 17,2 процентного пункта (п. п.) — это различные надбавки к цене, в первую очередь по 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инвестдоговорам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(договора на поставку мощности — ДПМ). В частности, возврат инвестиций в новые АЭС — это 10,7 п. п., зеленую энергетику (ДПМ ВИЭ) — еще 4 п. п. В «Совете рынка» «Ъ» пояснили, что основными факторами роста являются вводы блоков АЭС, а также объектов зеленой генерации и ДПМ-блока на Грозненской ТЭЦ.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i/>
          <w:iCs/>
          <w:sz w:val="32"/>
          <w:szCs w:val="32"/>
          <w:lang w:eastAsia="ru-RU"/>
        </w:rPr>
        <w:t xml:space="preserve">По расчетам Натальи Пороховой из АКРА, </w:t>
      </w:r>
      <w:r w:rsidRPr="00A8636E">
        <w:rPr>
          <w:rFonts w:ascii="Roboto" w:eastAsia="Times New Roman" w:hAnsi="Roboto" w:cs="Arial"/>
          <w:b/>
          <w:i/>
          <w:iCs/>
          <w:sz w:val="32"/>
          <w:szCs w:val="32"/>
          <w:u w:val="single"/>
          <w:lang w:eastAsia="ru-RU"/>
        </w:rPr>
        <w:t>ключевой фактор роста цены на мощность в 1ЦЗ — это ввод нового блока на Ленинградской АЭС-2, который будет получать с рынка 47 млрд руб. в год</w:t>
      </w:r>
      <w:r w:rsidRPr="00A8636E">
        <w:rPr>
          <w:rFonts w:ascii="Roboto" w:eastAsia="Times New Roman" w:hAnsi="Roboto" w:cs="Arial"/>
          <w:i/>
          <w:iCs/>
          <w:sz w:val="32"/>
          <w:szCs w:val="32"/>
          <w:lang w:eastAsia="ru-RU"/>
        </w:rPr>
        <w:t>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  <w:t>В Сибири на платежи по ДПМ ТЭС и ВИЭ придется 4,6 п. п. из 5,6% роста СНЦ на мощность, отмечает собеседник «Ъ». Он полагает, что прогноз цен на мощность в 2021—2022 годах занижен, так как не учитывает рост цены КОМ и дальневосточную надбавку.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  <w:t xml:space="preserve">В итоге, например, в 1ЦЗ в 2019 году СНЦ на мощность пикового потребления составит 777,6 тыс. в месяц, при этом на «условно рыночную» часть (КОМ с учетом небаланса) в этой цене придется только 26,5%, </w:t>
      </w:r>
      <w:r w:rsidRPr="00A8636E">
        <w:rPr>
          <w:rFonts w:ascii="Roboto" w:eastAsia="Times New Roman" w:hAnsi="Roboto" w:cs="Arial"/>
          <w:b/>
          <w:sz w:val="32"/>
          <w:szCs w:val="32"/>
          <w:lang w:eastAsia="ru-RU"/>
        </w:rPr>
        <w:t>а на </w:t>
      </w:r>
      <w:proofErr w:type="spellStart"/>
      <w:r w:rsidRPr="00A8636E">
        <w:rPr>
          <w:rFonts w:ascii="Roboto" w:eastAsia="Times New Roman" w:hAnsi="Roboto" w:cs="Arial"/>
          <w:b/>
          <w:sz w:val="32"/>
          <w:szCs w:val="32"/>
          <w:lang w:eastAsia="ru-RU"/>
        </w:rPr>
        <w:t>инвестнадбавки</w:t>
      </w:r>
      <w:proofErr w:type="spellEnd"/>
      <w:r w:rsidRPr="00A8636E">
        <w:rPr>
          <w:rFonts w:ascii="Roboto" w:eastAsia="Times New Roman" w:hAnsi="Roboto" w:cs="Arial"/>
          <w:b/>
          <w:sz w:val="32"/>
          <w:szCs w:val="32"/>
          <w:lang w:eastAsia="ru-RU"/>
        </w:rPr>
        <w:t xml:space="preserve"> по ДПМ — 71,2%.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Еще 2,3% — платеж для немногочисленной «вынужденной» генерации, дорогих станций, которые приходится оставлять на рынке для надежности энергосистемы. Наталья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Порохова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оценивает общий платеж за мощность в 2019 году в 770 млрд руб.</w:t>
      </w:r>
    </w:p>
    <w:p w:rsidR="00A8636E" w:rsidRPr="00A8636E" w:rsidRDefault="00A8636E" w:rsidP="00CC2AEE">
      <w:pPr>
        <w:shd w:val="clear" w:color="auto" w:fill="FFFFFF"/>
        <w:spacing w:line="300" w:lineRule="atLeast"/>
        <w:jc w:val="both"/>
        <w:textAlignment w:val="top"/>
        <w:rPr>
          <w:rFonts w:ascii="Roboto" w:eastAsia="Times New Roman" w:hAnsi="Roboto" w:cs="Arial"/>
          <w:sz w:val="32"/>
          <w:szCs w:val="32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>В </w:t>
      </w:r>
      <w:hyperlink r:id="rId7" w:history="1">
        <w:r w:rsidRPr="00A8636E">
          <w:rPr>
            <w:rFonts w:ascii="Roboto" w:eastAsia="Times New Roman" w:hAnsi="Roboto" w:cs="Arial"/>
            <w:color w:val="005BD1"/>
            <w:sz w:val="32"/>
            <w:szCs w:val="32"/>
            <w:lang w:eastAsia="ru-RU"/>
          </w:rPr>
          <w:t>Минэнерго</w:t>
        </w:r>
      </w:hyperlink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«Ъ» заявили, что прогноз цен учтен в социально-экономическом прогнозе развития РФ Минэкономики. В «Совете рынка» добавили, что «не могут корректировать темп роста цены, складывающийся из-за рыночных и регуляторных факторов».</w:t>
      </w:r>
    </w:p>
    <w:p w:rsidR="00A8636E" w:rsidRPr="00A8636E" w:rsidRDefault="00A8636E" w:rsidP="00CC2AEE">
      <w:pPr>
        <w:shd w:val="clear" w:color="auto" w:fill="FFFFFF"/>
        <w:spacing w:before="100" w:beforeAutospacing="1" w:after="100" w:afterAutospacing="1" w:line="300" w:lineRule="atLeast"/>
        <w:jc w:val="both"/>
        <w:textAlignment w:val="top"/>
        <w:rPr>
          <w:rFonts w:ascii="Roboto" w:eastAsia="Times New Roman" w:hAnsi="Roboto" w:cs="Arial"/>
          <w:sz w:val="23"/>
          <w:szCs w:val="23"/>
          <w:lang w:eastAsia="ru-RU"/>
        </w:rPr>
      </w:pPr>
      <w:r w:rsidRPr="00A8636E">
        <w:rPr>
          <w:rFonts w:ascii="Roboto" w:eastAsia="Times New Roman" w:hAnsi="Roboto" w:cs="Arial"/>
          <w:sz w:val="32"/>
          <w:szCs w:val="32"/>
          <w:lang w:eastAsia="ru-RU"/>
        </w:rPr>
        <w:t>Фактические темпы роста могут отличаться от прогнозных в том числе за счет изменения дат вводов объектов, заметили там.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  <w:t>Скачки цен на мощность не раз вызывали недовольство промышленности. «Галопирующий рост цены изымает ресурсы для развития других отраслей, а загрузка электростанций продолжает падать», — отметил «Ъ» глава «Сообщества потребителей энергии» Василий Киселев. По его мнению, для снижения платежей «рычаги и возможности есть — от 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переконфигурации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параметров платежей по новым АЭС, ГЭС и ТЭС до оптимизации сроков ввода».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  <w:t xml:space="preserve">При этом правительство сейчас планирует принять новую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инвестпрограмму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модернизации ТЭС стоимостью около 1,4 трлн руб. до 2035 года. Как замечает Наталья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Порохова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, рост платежей по модернизации нивелирует снижение выплат по ДПМ, </w:t>
      </w:r>
      <w:r w:rsidRPr="00A8636E">
        <w:rPr>
          <w:rFonts w:ascii="Roboto" w:eastAsia="Times New Roman" w:hAnsi="Roboto" w:cs="Arial"/>
          <w:b/>
          <w:sz w:val="32"/>
          <w:szCs w:val="32"/>
          <w:u w:val="single"/>
          <w:lang w:eastAsia="ru-RU"/>
        </w:rPr>
        <w:t>но стоит ждать роста цен на мощность из-за увеличения перекрестного субсидирования, появления новых АЭС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, </w:t>
      </w:r>
      <w:proofErr w:type="spellStart"/>
      <w:r w:rsidRPr="00A8636E">
        <w:rPr>
          <w:rFonts w:ascii="Roboto" w:eastAsia="Times New Roman" w:hAnsi="Roboto" w:cs="Arial"/>
          <w:sz w:val="32"/>
          <w:szCs w:val="32"/>
          <w:lang w:eastAsia="ru-RU"/>
        </w:rPr>
        <w:t>мусоросжигающих</w:t>
      </w:r>
      <w:proofErr w:type="spellEnd"/>
      <w:r w:rsidRPr="00A8636E">
        <w:rPr>
          <w:rFonts w:ascii="Roboto" w:eastAsia="Times New Roman" w:hAnsi="Roboto" w:cs="Arial"/>
          <w:sz w:val="32"/>
          <w:szCs w:val="32"/>
          <w:lang w:eastAsia="ru-RU"/>
        </w:rPr>
        <w:t xml:space="preserve"> ТЭС и ВИЭ. По ее оценке, если инфляция составит 2−4%, то рост этих цен может и не уложиться в эти параметры.</w:t>
      </w:r>
      <w:r w:rsidRPr="00A8636E">
        <w:rPr>
          <w:rFonts w:ascii="Roboto" w:eastAsia="Times New Roman" w:hAnsi="Roboto" w:cs="Arial"/>
          <w:sz w:val="32"/>
          <w:szCs w:val="32"/>
          <w:lang w:eastAsia="ru-RU"/>
        </w:rPr>
        <w:br/>
      </w:r>
      <w:r w:rsidRPr="00A8636E">
        <w:rPr>
          <w:rFonts w:ascii="Roboto" w:eastAsia="Times New Roman" w:hAnsi="Roboto" w:cs="Arial"/>
          <w:sz w:val="23"/>
          <w:szCs w:val="23"/>
          <w:lang w:eastAsia="ru-RU"/>
        </w:rPr>
        <w:br/>
      </w:r>
      <w:r w:rsidRPr="00A8636E">
        <w:rPr>
          <w:rFonts w:ascii="Roboto" w:eastAsia="Times New Roman" w:hAnsi="Roboto" w:cs="Arial"/>
          <w:i/>
          <w:iCs/>
          <w:sz w:val="23"/>
          <w:szCs w:val="23"/>
          <w:lang w:eastAsia="ru-RU"/>
        </w:rPr>
        <w:t xml:space="preserve">Татьяна Дятел, Владимир </w:t>
      </w:r>
      <w:proofErr w:type="spellStart"/>
      <w:r w:rsidRPr="00A8636E">
        <w:rPr>
          <w:rFonts w:ascii="Roboto" w:eastAsia="Times New Roman" w:hAnsi="Roboto" w:cs="Arial"/>
          <w:i/>
          <w:iCs/>
          <w:sz w:val="23"/>
          <w:szCs w:val="23"/>
          <w:lang w:eastAsia="ru-RU"/>
        </w:rPr>
        <w:t>Дзагуто</w:t>
      </w:r>
      <w:proofErr w:type="spellEnd"/>
    </w:p>
    <w:p w:rsidR="002E64B5" w:rsidRDefault="002E64B5"/>
    <w:sectPr w:rsidR="002E6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Slab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6E"/>
    <w:rsid w:val="002E64B5"/>
    <w:rsid w:val="00A8636E"/>
    <w:rsid w:val="00CC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C771"/>
  <w15:chartTrackingRefBased/>
  <w15:docId w15:val="{9EAA4F1A-7B12-41F1-9005-EB55D752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8685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296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1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5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08948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2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6437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410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6974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65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15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6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89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900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92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56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2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10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  <w:divsChild>
                                                        <w:div w:id="70792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66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13" w:color="E5E5E5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61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970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72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65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44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713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3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08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EDEDE"/>
                                                        <w:left w:val="single" w:sz="6" w:space="0" w:color="DEDEDE"/>
                                                        <w:bottom w:val="single" w:sz="6" w:space="0" w:color="DEDEDE"/>
                                                        <w:right w:val="single" w:sz="6" w:space="0" w:color="DEDEDE"/>
                                                      </w:divBdr>
                                                      <w:divsChild>
                                                        <w:div w:id="194969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59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13" w:color="E5E5E5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797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789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4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6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8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7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186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98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4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57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36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ews.mail.ru/company/minenerg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mail.ru/economics/35833328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Газета Коммерсант </vt:lpstr>
      <vt:lpstr>Расценки новой генерации</vt:lpstr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Жарлицына Татьяна Леонидовна</dc:creator>
  <cp:keywords/>
  <dc:description/>
  <cp:lastModifiedBy>Жарлицына Татьяна Леонидовна</cp:lastModifiedBy>
  <cp:revision>2</cp:revision>
  <dcterms:created xsi:type="dcterms:W3CDTF">2019-01-17T10:10:00Z</dcterms:created>
  <dcterms:modified xsi:type="dcterms:W3CDTF">2019-01-17T10:10:00Z</dcterms:modified>
</cp:coreProperties>
</file>