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62" w:rsidRPr="00354062" w:rsidRDefault="00354062" w:rsidP="00354062">
      <w:pPr>
        <w:spacing w:before="0" w:beforeAutospacing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5406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Информация</w:t>
      </w:r>
    </w:p>
    <w:p w:rsidR="00354062" w:rsidRPr="00354062" w:rsidRDefault="00354062" w:rsidP="00354062">
      <w:pPr>
        <w:spacing w:before="0" w:beforeAutospacing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5406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 сотрудниках, работающих в социально-реабилитационных центрах и подлежащих высвобождению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35406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в связи с ликвидацией учреждений</w:t>
      </w:r>
    </w:p>
    <w:p w:rsidR="00354062" w:rsidRPr="00354062" w:rsidRDefault="00354062" w:rsidP="00354062">
      <w:pPr>
        <w:spacing w:before="0" w:beforeAutospacing="0" w:after="0" w:line="240" w:lineRule="auto"/>
        <w:ind w:firstLine="0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</w:t>
      </w:r>
      <w:r w:rsidRPr="0035406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еловек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567"/>
        <w:gridCol w:w="992"/>
        <w:gridCol w:w="993"/>
        <w:gridCol w:w="992"/>
        <w:gridCol w:w="850"/>
        <w:gridCol w:w="1134"/>
        <w:gridCol w:w="993"/>
        <w:gridCol w:w="992"/>
        <w:gridCol w:w="1276"/>
        <w:gridCol w:w="992"/>
        <w:gridCol w:w="1843"/>
      </w:tblGrid>
      <w:tr w:rsidR="00354062" w:rsidRPr="00354062" w:rsidTr="00354062">
        <w:trPr>
          <w:trHeight w:val="316"/>
        </w:trPr>
        <w:tc>
          <w:tcPr>
            <w:tcW w:w="2802" w:type="dxa"/>
            <w:vMerge w:val="restart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ГБУ СРЦ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354062" w:rsidRPr="00354062" w:rsidRDefault="00354062" w:rsidP="00354062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Штатных ед.</w:t>
            </w:r>
          </w:p>
        </w:tc>
        <w:tc>
          <w:tcPr>
            <w:tcW w:w="11624" w:type="dxa"/>
            <w:gridSpan w:val="11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Фактическая численность работников на 01.10.2018</w:t>
            </w:r>
          </w:p>
        </w:tc>
      </w:tr>
      <w:tr w:rsidR="00354062" w:rsidRPr="00354062" w:rsidTr="00354062">
        <w:trPr>
          <w:trHeight w:val="58"/>
        </w:trPr>
        <w:tc>
          <w:tcPr>
            <w:tcW w:w="280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394" w:type="dxa"/>
            <w:gridSpan w:val="5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Категория специалистов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Всего</w:t>
            </w:r>
          </w:p>
        </w:tc>
        <w:tc>
          <w:tcPr>
            <w:tcW w:w="6096" w:type="dxa"/>
            <w:gridSpan w:val="5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из них:</w:t>
            </w:r>
          </w:p>
        </w:tc>
      </w:tr>
      <w:tr w:rsidR="00354062" w:rsidRPr="00354062" w:rsidTr="00354062">
        <w:trPr>
          <w:trHeight w:val="300"/>
        </w:trPr>
        <w:tc>
          <w:tcPr>
            <w:tcW w:w="280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Руководитель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Педагогические работники</w:t>
            </w:r>
          </w:p>
        </w:tc>
        <w:tc>
          <w:tcPr>
            <w:tcW w:w="993" w:type="dxa"/>
            <w:vMerge w:val="restart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Медицинский персонал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Общеотраслевые служащие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40" w:lineRule="auto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Рабочие</w:t>
            </w:r>
          </w:p>
        </w:tc>
        <w:tc>
          <w:tcPr>
            <w:tcW w:w="1134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253" w:type="dxa"/>
            <w:gridSpan w:val="4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Трудоспособный возраст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Пенсионный возраст</w:t>
            </w:r>
          </w:p>
        </w:tc>
      </w:tr>
      <w:tr w:rsidR="00354062" w:rsidRPr="00354062" w:rsidTr="00354062">
        <w:trPr>
          <w:cantSplit/>
          <w:trHeight w:val="271"/>
        </w:trPr>
        <w:tc>
          <w:tcPr>
            <w:tcW w:w="280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354062" w:rsidRPr="00354062" w:rsidRDefault="00354062" w:rsidP="00354062">
            <w:pPr>
              <w:spacing w:before="0" w:beforeAutospacing="0" w:after="0" w:line="20" w:lineRule="atLeast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Всего</w:t>
            </w:r>
          </w:p>
        </w:tc>
        <w:tc>
          <w:tcPr>
            <w:tcW w:w="3260" w:type="dxa"/>
            <w:gridSpan w:val="3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0" w:lineRule="atLeast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из них:</w:t>
            </w:r>
          </w:p>
        </w:tc>
        <w:tc>
          <w:tcPr>
            <w:tcW w:w="1843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354062" w:rsidRPr="00354062" w:rsidTr="00354062">
        <w:trPr>
          <w:cantSplit/>
          <w:trHeight w:val="1888"/>
        </w:trPr>
        <w:tc>
          <w:tcPr>
            <w:tcW w:w="280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93" w:type="dxa"/>
            <w:vMerge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0" w:lineRule="atLeast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0" w:lineRule="atLeast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Отпуск по беременности и родам</w:t>
            </w:r>
          </w:p>
        </w:tc>
        <w:tc>
          <w:tcPr>
            <w:tcW w:w="1276" w:type="dxa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0" w:lineRule="atLeast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Приемные родители, матери одиночки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354062" w:rsidRPr="00354062" w:rsidRDefault="00354062" w:rsidP="00354062">
            <w:pPr>
              <w:spacing w:before="0" w:beforeAutospacing="0" w:after="0" w:line="20" w:lineRule="atLeast"/>
              <w:ind w:left="113" w:right="113"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Воспитывают детей до 3-х лет</w:t>
            </w:r>
          </w:p>
        </w:tc>
        <w:tc>
          <w:tcPr>
            <w:tcW w:w="1843" w:type="dxa"/>
            <w:vMerge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354062" w:rsidRPr="00354062" w:rsidTr="00354062">
        <w:tc>
          <w:tcPr>
            <w:tcW w:w="280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Бежецкого района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34</w:t>
            </w:r>
          </w:p>
        </w:tc>
        <w:tc>
          <w:tcPr>
            <w:tcW w:w="567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33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27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354062" w:rsidRPr="00354062" w:rsidTr="00354062">
        <w:tc>
          <w:tcPr>
            <w:tcW w:w="280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Западнодвинского района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28</w:t>
            </w:r>
          </w:p>
        </w:tc>
        <w:tc>
          <w:tcPr>
            <w:tcW w:w="567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25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</w:tr>
      <w:tr w:rsidR="00354062" w:rsidRPr="00354062" w:rsidTr="00354062">
        <w:tc>
          <w:tcPr>
            <w:tcW w:w="280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Зубцовского района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31,5</w:t>
            </w:r>
          </w:p>
        </w:tc>
        <w:tc>
          <w:tcPr>
            <w:tcW w:w="567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</w:tr>
      <w:tr w:rsidR="00354062" w:rsidRPr="00354062" w:rsidTr="00354062">
        <w:tc>
          <w:tcPr>
            <w:tcW w:w="280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Лихославльского района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27,5</w:t>
            </w:r>
          </w:p>
        </w:tc>
        <w:tc>
          <w:tcPr>
            <w:tcW w:w="567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24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</w:tr>
      <w:tr w:rsidR="00354062" w:rsidRPr="00354062" w:rsidTr="00354062">
        <w:tc>
          <w:tcPr>
            <w:tcW w:w="280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Спировского района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27</w:t>
            </w:r>
          </w:p>
        </w:tc>
        <w:tc>
          <w:tcPr>
            <w:tcW w:w="567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</w:tr>
      <w:tr w:rsidR="00354062" w:rsidRPr="00354062" w:rsidTr="00354062">
        <w:tc>
          <w:tcPr>
            <w:tcW w:w="280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148</w:t>
            </w:r>
          </w:p>
        </w:tc>
        <w:tc>
          <w:tcPr>
            <w:tcW w:w="567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67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34</w:t>
            </w:r>
          </w:p>
        </w:tc>
        <w:tc>
          <w:tcPr>
            <w:tcW w:w="1134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117</w:t>
            </w:r>
          </w:p>
        </w:tc>
        <w:tc>
          <w:tcPr>
            <w:tcW w:w="99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88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354062" w:rsidRPr="00354062" w:rsidRDefault="00354062" w:rsidP="00354062">
            <w:pPr>
              <w:spacing w:before="0" w:beforeAutospacing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5406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29</w:t>
            </w:r>
          </w:p>
        </w:tc>
      </w:tr>
    </w:tbl>
    <w:p w:rsidR="00354062" w:rsidRPr="00354062" w:rsidRDefault="00354062" w:rsidP="00354062">
      <w:pPr>
        <w:spacing w:before="0" w:beforeAutospacing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sectPr w:rsidR="00354062" w:rsidRPr="00354062" w:rsidSect="00354062">
          <w:pgSz w:w="16840" w:h="11907" w:orient="landscape" w:code="9"/>
          <w:pgMar w:top="567" w:right="1134" w:bottom="567" w:left="1134" w:header="567" w:footer="567" w:gutter="0"/>
          <w:cols w:space="720"/>
          <w:titlePg/>
          <w:docGrid w:linePitch="272"/>
        </w:sectPr>
      </w:pPr>
    </w:p>
    <w:p w:rsidR="00F31993" w:rsidRPr="00354062" w:rsidRDefault="00354062" w:rsidP="00354062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</w:t>
      </w:r>
      <w:r w:rsidRPr="00354062">
        <w:rPr>
          <w:rFonts w:ascii="Times New Roman" w:hAnsi="Times New Roman" w:cs="Times New Roman"/>
          <w:b/>
          <w:sz w:val="32"/>
          <w:szCs w:val="32"/>
        </w:rPr>
        <w:t>нформация по ликвидируемым социально-реабилитационным центрам</w:t>
      </w:r>
    </w:p>
    <w:tbl>
      <w:tblPr>
        <w:tblStyle w:val="a3"/>
        <w:tblW w:w="14985" w:type="dxa"/>
        <w:tblLook w:val="04A0" w:firstRow="1" w:lastRow="0" w:firstColumn="1" w:lastColumn="0" w:noHBand="0" w:noVBand="1"/>
      </w:tblPr>
      <w:tblGrid>
        <w:gridCol w:w="2731"/>
        <w:gridCol w:w="2189"/>
        <w:gridCol w:w="3067"/>
        <w:gridCol w:w="3280"/>
        <w:gridCol w:w="3718"/>
      </w:tblGrid>
      <w:tr w:rsidR="00354062" w:rsidRPr="00354062" w:rsidTr="00430138">
        <w:tc>
          <w:tcPr>
            <w:tcW w:w="2660" w:type="dxa"/>
          </w:tcPr>
          <w:p w:rsidR="00354062" w:rsidRPr="00354062" w:rsidRDefault="00354062" w:rsidP="00430138">
            <w:pPr>
              <w:spacing w:before="100"/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b/>
                <w:sz w:val="32"/>
                <w:szCs w:val="32"/>
              </w:rPr>
              <w:t>Название СРЦ</w:t>
            </w:r>
          </w:p>
        </w:tc>
        <w:tc>
          <w:tcPr>
            <w:tcW w:w="1573" w:type="dxa"/>
          </w:tcPr>
          <w:p w:rsidR="00354062" w:rsidRPr="00354062" w:rsidRDefault="00354062" w:rsidP="00430138">
            <w:pPr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b/>
                <w:sz w:val="32"/>
                <w:szCs w:val="32"/>
              </w:rPr>
              <w:t>Адрес</w:t>
            </w:r>
          </w:p>
        </w:tc>
        <w:tc>
          <w:tcPr>
            <w:tcW w:w="3444" w:type="dxa"/>
          </w:tcPr>
          <w:p w:rsidR="00354062" w:rsidRPr="00354062" w:rsidRDefault="00354062" w:rsidP="00430138">
            <w:pPr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b/>
                <w:sz w:val="32"/>
                <w:szCs w:val="32"/>
              </w:rPr>
              <w:t>Техническое состояние здания</w:t>
            </w:r>
          </w:p>
        </w:tc>
        <w:tc>
          <w:tcPr>
            <w:tcW w:w="2897" w:type="dxa"/>
          </w:tcPr>
          <w:p w:rsidR="00354062" w:rsidRPr="00354062" w:rsidRDefault="00354062" w:rsidP="00430138">
            <w:pPr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b/>
                <w:sz w:val="32"/>
                <w:szCs w:val="32"/>
              </w:rPr>
              <w:t>Здание после реорганизации</w:t>
            </w:r>
          </w:p>
        </w:tc>
        <w:tc>
          <w:tcPr>
            <w:tcW w:w="4411" w:type="dxa"/>
          </w:tcPr>
          <w:p w:rsidR="00354062" w:rsidRPr="00354062" w:rsidRDefault="00354062" w:rsidP="00430138">
            <w:pPr>
              <w:ind w:firstLine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b/>
                <w:sz w:val="32"/>
                <w:szCs w:val="32"/>
              </w:rPr>
              <w:t>Помещение детей</w:t>
            </w:r>
          </w:p>
        </w:tc>
      </w:tr>
      <w:tr w:rsidR="00354062" w:rsidRPr="00354062" w:rsidTr="00430138">
        <w:tc>
          <w:tcPr>
            <w:tcW w:w="2660" w:type="dxa"/>
          </w:tcPr>
          <w:p w:rsidR="00354062" w:rsidRPr="00354062" w:rsidRDefault="00354062" w:rsidP="00430138">
            <w:pPr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Бежецкого района – 16 ст. мест</w:t>
            </w:r>
          </w:p>
        </w:tc>
        <w:tc>
          <w:tcPr>
            <w:tcW w:w="1573" w:type="dxa"/>
          </w:tcPr>
          <w:p w:rsidR="00354062" w:rsidRPr="00354062" w:rsidRDefault="00354062" w:rsidP="00430138">
            <w:pPr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ул. Строительная, д. 11, г. Бежецк</w:t>
            </w:r>
          </w:p>
        </w:tc>
        <w:tc>
          <w:tcPr>
            <w:tcW w:w="3444" w:type="dxa"/>
          </w:tcPr>
          <w:p w:rsidR="00354062" w:rsidRPr="00354062" w:rsidRDefault="00354062" w:rsidP="00430138">
            <w:pPr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двухэтажное кирпичное здание, 2 этаж, 1 этаж занимает КЦСОН Бежецкого района,1964 года постройки</w:t>
            </w:r>
          </w:p>
        </w:tc>
        <w:tc>
          <w:tcPr>
            <w:tcW w:w="2897" w:type="dxa"/>
          </w:tcPr>
          <w:p w:rsidR="00354062" w:rsidRPr="00354062" w:rsidRDefault="00354062" w:rsidP="00430138">
            <w:pPr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Помещения запланированы передать в ГБУ «Реабилитационный центр для несовершеннолетних» Бежецкого района      (занимаемое здание ул. Кашинская 102, Бежецк бревенчатое, относится к </w:t>
            </w:r>
            <w:r w:rsidRPr="0035406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IV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 степени огнестойкости, год постройки до 1917 года))</w:t>
            </w:r>
          </w:p>
        </w:tc>
        <w:tc>
          <w:tcPr>
            <w:tcW w:w="4411" w:type="dxa"/>
          </w:tcPr>
          <w:p w:rsidR="00354062" w:rsidRPr="00354062" w:rsidRDefault="00354062" w:rsidP="00430138">
            <w:pPr>
              <w:spacing w:beforeAutospacing="0"/>
              <w:ind w:firstLine="51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Рамешковского района (16)  </w:t>
            </w:r>
          </w:p>
          <w:p w:rsidR="00354062" w:rsidRPr="00354062" w:rsidRDefault="00354062" w:rsidP="00430138">
            <w:pPr>
              <w:spacing w:beforeAutospacing="0"/>
              <w:ind w:firstLine="51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Кесовогорского района (16) </w:t>
            </w:r>
          </w:p>
          <w:p w:rsidR="00354062" w:rsidRPr="00354062" w:rsidRDefault="00354062" w:rsidP="00430138">
            <w:pPr>
              <w:spacing w:beforeAutospacing="0"/>
              <w:ind w:firstLine="51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(пос. Молоково)» (24)  </w:t>
            </w:r>
            <w:bookmarkStart w:id="0" w:name="_GoBack"/>
            <w:bookmarkEnd w:id="0"/>
          </w:p>
        </w:tc>
      </w:tr>
      <w:tr w:rsidR="00354062" w:rsidRPr="00354062" w:rsidTr="00430138">
        <w:tc>
          <w:tcPr>
            <w:tcW w:w="2660" w:type="dxa"/>
          </w:tcPr>
          <w:p w:rsidR="00354062" w:rsidRPr="00354062" w:rsidRDefault="00354062" w:rsidP="00430138">
            <w:pPr>
              <w:spacing w:before="100"/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Зубцовского района – 16 ст. мест</w:t>
            </w:r>
          </w:p>
        </w:tc>
        <w:tc>
          <w:tcPr>
            <w:tcW w:w="1573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ул. Парковая, д. 11, д. Борки, Зубцовский район </w:t>
            </w:r>
          </w:p>
        </w:tc>
        <w:tc>
          <w:tcPr>
            <w:tcW w:w="3444" w:type="dxa"/>
          </w:tcPr>
          <w:p w:rsidR="00354062" w:rsidRPr="00354062" w:rsidRDefault="00354062" w:rsidP="00430138">
            <w:pPr>
              <w:pStyle w:val="2"/>
              <w:tabs>
                <w:tab w:val="left" w:pos="360"/>
                <w:tab w:val="left" w:pos="2438"/>
                <w:tab w:val="left" w:pos="3629"/>
                <w:tab w:val="left" w:pos="4820"/>
                <w:tab w:val="left" w:pos="6010"/>
                <w:tab w:val="left" w:pos="7201"/>
                <w:tab w:val="left" w:pos="8392"/>
                <w:tab w:val="left" w:pos="9582"/>
              </w:tabs>
              <w:suppressAutoHyphens/>
              <w:ind w:left="0" w:firstLine="0"/>
              <w:rPr>
                <w:sz w:val="32"/>
                <w:szCs w:val="32"/>
              </w:rPr>
            </w:pPr>
            <w:r w:rsidRPr="00354062">
              <w:rPr>
                <w:sz w:val="32"/>
                <w:szCs w:val="32"/>
              </w:rPr>
              <w:t xml:space="preserve">Здание кирпичное, двухэтажное, 1993 года постройки. Экспертное заключени о </w:t>
            </w:r>
            <w:r w:rsidRPr="00354062">
              <w:rPr>
                <w:sz w:val="32"/>
                <w:szCs w:val="32"/>
              </w:rPr>
              <w:lastRenderedPageBreak/>
              <w:t xml:space="preserve">признании не пригодным для дальнейшей эксплуатации, т.к. не предоставляется возможным безопасное проживание в нем детей без проведения комплекса мероприятий по их устранению (трещины фундамента, стен)   </w:t>
            </w:r>
          </w:p>
        </w:tc>
        <w:tc>
          <w:tcPr>
            <w:tcW w:w="2897" w:type="dxa"/>
          </w:tcPr>
          <w:p w:rsidR="00354062" w:rsidRPr="00354062" w:rsidRDefault="00354062" w:rsidP="00430138">
            <w:pPr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Здание запланировано передать в казну Тверской области</w:t>
            </w:r>
          </w:p>
        </w:tc>
        <w:tc>
          <w:tcPr>
            <w:tcW w:w="4411" w:type="dxa"/>
          </w:tcPr>
          <w:p w:rsidR="00354062" w:rsidRPr="00354062" w:rsidRDefault="00354062" w:rsidP="00430138">
            <w:pPr>
              <w:spacing w:beforeAutospacing="0"/>
              <w:ind w:firstLine="5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г. Ржев (16)  </w:t>
            </w:r>
          </w:p>
          <w:p w:rsidR="00354062" w:rsidRPr="00354062" w:rsidRDefault="00354062" w:rsidP="00430138">
            <w:pPr>
              <w:spacing w:beforeAutospacing="0"/>
              <w:ind w:firstLine="5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Ржевского района (16) </w:t>
            </w:r>
          </w:p>
          <w:p w:rsidR="00354062" w:rsidRPr="00354062" w:rsidRDefault="00354062" w:rsidP="00430138">
            <w:pPr>
              <w:spacing w:beforeAutospacing="0"/>
              <w:ind w:firstLine="5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Старицкого района (36) , Зубцовский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детский дом (48)   </w:t>
            </w:r>
          </w:p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</w:p>
        </w:tc>
      </w:tr>
      <w:tr w:rsidR="00354062" w:rsidRPr="00354062" w:rsidTr="00430138">
        <w:tc>
          <w:tcPr>
            <w:tcW w:w="2660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ГБУ СРЦ Западнодвинского района 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16 ст. мест</w:t>
            </w:r>
          </w:p>
        </w:tc>
        <w:tc>
          <w:tcPr>
            <w:tcW w:w="1573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ул. Трудовая, д.17, г. Западная Двина</w:t>
            </w:r>
          </w:p>
        </w:tc>
        <w:tc>
          <w:tcPr>
            <w:tcW w:w="3444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Здание жилого корпуса бревенчатое, одноэтажное, год постройки – 1945, относится к </w:t>
            </w:r>
            <w:r w:rsidRPr="0035406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IV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 степени огнестойкости.</w:t>
            </w:r>
          </w:p>
        </w:tc>
        <w:tc>
          <w:tcPr>
            <w:tcW w:w="2897" w:type="dxa"/>
          </w:tcPr>
          <w:p w:rsidR="00354062" w:rsidRPr="00354062" w:rsidRDefault="00354062" w:rsidP="00430138">
            <w:pPr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В здании запланировано размещение ГБУ КЦСОН Западнодвинского района</w:t>
            </w:r>
          </w:p>
        </w:tc>
        <w:tc>
          <w:tcPr>
            <w:tcW w:w="4411" w:type="dxa"/>
          </w:tcPr>
          <w:p w:rsidR="00354062" w:rsidRPr="00354062" w:rsidRDefault="00354062" w:rsidP="00430138">
            <w:pPr>
              <w:spacing w:beforeAutospacing="0"/>
              <w:ind w:firstLine="5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Андреапольского района (16) ;</w:t>
            </w:r>
          </w:p>
          <w:p w:rsidR="00354062" w:rsidRPr="00354062" w:rsidRDefault="00354062" w:rsidP="00430138">
            <w:pPr>
              <w:spacing w:beforeAutospacing="0"/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Нелидовского  района (16) </w:t>
            </w:r>
          </w:p>
          <w:p w:rsidR="00354062" w:rsidRPr="00354062" w:rsidRDefault="00354062" w:rsidP="00430138">
            <w:pPr>
              <w:spacing w:beforeAutospacing="0"/>
              <w:ind w:firstLine="5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Жарковского  района (16) </w:t>
            </w:r>
          </w:p>
          <w:p w:rsidR="00354062" w:rsidRPr="00354062" w:rsidRDefault="00354062" w:rsidP="00430138">
            <w:pPr>
              <w:spacing w:beforeAutospacing="0"/>
              <w:ind w:firstLine="5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ГБУ СРЦ Торопецкого района (16)</w:t>
            </w:r>
          </w:p>
        </w:tc>
      </w:tr>
      <w:tr w:rsidR="00354062" w:rsidRPr="00354062" w:rsidTr="00430138">
        <w:tc>
          <w:tcPr>
            <w:tcW w:w="2660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Лихославльского района 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16 ст. мест</w:t>
            </w:r>
          </w:p>
        </w:tc>
        <w:tc>
          <w:tcPr>
            <w:tcW w:w="1573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ул. Разъезжая,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д. 20, г. Лихославль</w:t>
            </w:r>
          </w:p>
        </w:tc>
        <w:tc>
          <w:tcPr>
            <w:tcW w:w="3444" w:type="dxa"/>
          </w:tcPr>
          <w:p w:rsidR="00354062" w:rsidRPr="00354062" w:rsidRDefault="00354062" w:rsidP="00430138">
            <w:pPr>
              <w:pStyle w:val="a4"/>
              <w:spacing w:after="0" w:line="240" w:lineRule="auto"/>
              <w:ind w:left="0"/>
              <w:jc w:val="both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Здание жилого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корпуса бревенчатое, однозтажное, год постройки – 1936, относится к </w:t>
            </w:r>
            <w:r w:rsidRPr="0035406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IV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 степени огнестойкости.</w:t>
            </w:r>
          </w:p>
        </w:tc>
        <w:tc>
          <w:tcPr>
            <w:tcW w:w="2897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В здании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запланировано размещение ГБУ КЦСОН Лихославльского района</w:t>
            </w:r>
          </w:p>
        </w:tc>
        <w:tc>
          <w:tcPr>
            <w:tcW w:w="4411" w:type="dxa"/>
          </w:tcPr>
          <w:p w:rsidR="00354062" w:rsidRPr="00354062" w:rsidRDefault="00354062" w:rsidP="00430138">
            <w:pPr>
              <w:spacing w:beforeAutospacing="0"/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ГБУ СРЦ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Рамешковского района (16) </w:t>
            </w:r>
          </w:p>
          <w:p w:rsidR="00354062" w:rsidRPr="00354062" w:rsidRDefault="00354062" w:rsidP="00430138">
            <w:pPr>
              <w:spacing w:beforeAutospacing="0"/>
              <w:ind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Торжокского  района (16)  </w:t>
            </w:r>
          </w:p>
          <w:p w:rsidR="00354062" w:rsidRPr="00354062" w:rsidRDefault="00354062" w:rsidP="00430138">
            <w:pPr>
              <w:spacing w:beforeAutospacing="0"/>
              <w:ind w:firstLine="5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«Областной Центр помощи детям, оставшимся без попечения родителей (г. Торжок)» (32)   </w:t>
            </w:r>
          </w:p>
        </w:tc>
      </w:tr>
      <w:tr w:rsidR="00354062" w:rsidRPr="00354062" w:rsidTr="00430138">
        <w:tc>
          <w:tcPr>
            <w:tcW w:w="2660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ГБУ СРЦ Спировского района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16 ст. мест</w:t>
            </w:r>
          </w:p>
        </w:tc>
        <w:tc>
          <w:tcPr>
            <w:tcW w:w="1573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ул. Карабиха, д. 59   Спирво</w:t>
            </w:r>
          </w:p>
        </w:tc>
        <w:tc>
          <w:tcPr>
            <w:tcW w:w="3444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Здание жилого корпуса бревенчатое, двухэтажное, год постройки – 1853, относится к </w:t>
            </w:r>
            <w:r w:rsidRPr="0035406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IV</w:t>
            </w: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 степени огнестойкости</w:t>
            </w:r>
          </w:p>
        </w:tc>
        <w:tc>
          <w:tcPr>
            <w:tcW w:w="2897" w:type="dxa"/>
          </w:tcPr>
          <w:p w:rsidR="00354062" w:rsidRPr="00354062" w:rsidRDefault="00354062" w:rsidP="00430138">
            <w:pPr>
              <w:ind w:firstLine="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>В здании запланировано размещение ГБУ КЦСОН Спировского района</w:t>
            </w:r>
          </w:p>
        </w:tc>
        <w:tc>
          <w:tcPr>
            <w:tcW w:w="4411" w:type="dxa"/>
          </w:tcPr>
          <w:p w:rsidR="00354062" w:rsidRPr="00354062" w:rsidRDefault="00354062" w:rsidP="00430138">
            <w:pPr>
              <w:spacing w:beforeAutospacing="0"/>
              <w:ind w:firstLine="5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Вышневолоцкого района (24)  </w:t>
            </w:r>
          </w:p>
          <w:p w:rsidR="00354062" w:rsidRPr="00354062" w:rsidRDefault="00354062" w:rsidP="00430138">
            <w:pPr>
              <w:spacing w:beforeAutospacing="0"/>
              <w:ind w:firstLine="50"/>
              <w:rPr>
                <w:rFonts w:ascii="Times New Roman" w:hAnsi="Times New Roman" w:cs="Times New Roman"/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 СРЦ Торжокского  района (16)  </w:t>
            </w:r>
          </w:p>
          <w:p w:rsidR="00354062" w:rsidRPr="00354062" w:rsidRDefault="00354062" w:rsidP="00430138">
            <w:pPr>
              <w:spacing w:beforeAutospacing="0"/>
              <w:ind w:firstLine="50"/>
              <w:rPr>
                <w:sz w:val="32"/>
                <w:szCs w:val="32"/>
              </w:rPr>
            </w:pPr>
            <w:r w:rsidRPr="00354062">
              <w:rPr>
                <w:rFonts w:ascii="Times New Roman" w:hAnsi="Times New Roman" w:cs="Times New Roman"/>
                <w:sz w:val="32"/>
                <w:szCs w:val="32"/>
              </w:rPr>
              <w:t xml:space="preserve">ГБУ«Областной Центр помощи детям, оставшимся без попечения родителей (г. Торжок)» (32)   </w:t>
            </w:r>
          </w:p>
        </w:tc>
      </w:tr>
    </w:tbl>
    <w:p w:rsidR="00354062" w:rsidRPr="00354062" w:rsidRDefault="00354062" w:rsidP="0035406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54062" w:rsidRPr="00354062" w:rsidSect="0072278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86BD6"/>
    <w:multiLevelType w:val="hybridMultilevel"/>
    <w:tmpl w:val="3B606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86"/>
    <w:rsid w:val="0007043B"/>
    <w:rsid w:val="000B711A"/>
    <w:rsid w:val="000E63AB"/>
    <w:rsid w:val="002D6379"/>
    <w:rsid w:val="00307B06"/>
    <w:rsid w:val="00354062"/>
    <w:rsid w:val="00355908"/>
    <w:rsid w:val="004D701F"/>
    <w:rsid w:val="0054224D"/>
    <w:rsid w:val="00696D72"/>
    <w:rsid w:val="00722786"/>
    <w:rsid w:val="007D2626"/>
    <w:rsid w:val="0091331B"/>
    <w:rsid w:val="00A148EE"/>
    <w:rsid w:val="00D27CC2"/>
    <w:rsid w:val="00D46918"/>
    <w:rsid w:val="00E42F73"/>
    <w:rsid w:val="00F31993"/>
    <w:rsid w:val="00F57575"/>
    <w:rsid w:val="00F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A22685-6D0C-47BD-986A-74A81430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360" w:line="240" w:lineRule="atLeast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rsid w:val="00722786"/>
    <w:pPr>
      <w:spacing w:before="0" w:beforeAutospacing="0" w:after="0" w:line="240" w:lineRule="auto"/>
      <w:ind w:left="14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72278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07043B"/>
    <w:pPr>
      <w:spacing w:before="0" w:beforeAutospacing="0" w:after="160" w:line="259" w:lineRule="auto"/>
      <w:ind w:left="720" w:firstLine="0"/>
      <w:contextualSpacing/>
      <w:jc w:val="left"/>
    </w:pPr>
  </w:style>
  <w:style w:type="paragraph" w:styleId="a5">
    <w:name w:val="Balloon Text"/>
    <w:basedOn w:val="a"/>
    <w:link w:val="a6"/>
    <w:uiPriority w:val="99"/>
    <w:semiHidden/>
    <w:unhideWhenUsed/>
    <w:rsid w:val="0035406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40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2348-7B71-4D73-BE69-0194861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Консультант ОСПСД</dc:creator>
  <cp:lastModifiedBy>Зам министра</cp:lastModifiedBy>
  <cp:revision>2</cp:revision>
  <cp:lastPrinted>2018-11-13T10:51:00Z</cp:lastPrinted>
  <dcterms:created xsi:type="dcterms:W3CDTF">2018-11-13T10:56:00Z</dcterms:created>
  <dcterms:modified xsi:type="dcterms:W3CDTF">2018-11-13T10:56:00Z</dcterms:modified>
</cp:coreProperties>
</file>