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291" w:rsidRDefault="00B67291">
      <w:r w:rsidRPr="00B67291">
        <w:rPr>
          <w:noProof/>
          <w:lang w:eastAsia="ru-RU"/>
        </w:rPr>
        <w:drawing>
          <wp:inline distT="0" distB="0" distL="0" distR="0" wp14:anchorId="387C3654" wp14:editId="103D055E">
            <wp:extent cx="8601075" cy="29718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67291" w:rsidRPr="00D30867" w:rsidRDefault="00197AFF" w:rsidP="00D3086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 процессе работы инспектора выявляют факты браконьерства и вызывают сотрудников полиции. Далее по факту</w:t>
      </w:r>
      <w:r>
        <w:rPr>
          <w:rFonts w:ascii="Times New Roman" w:hAnsi="Times New Roman" w:cs="Times New Roman"/>
          <w:sz w:val="36"/>
          <w:szCs w:val="36"/>
        </w:rPr>
        <w:t xml:space="preserve"> браконьерства</w:t>
      </w:r>
      <w:r>
        <w:rPr>
          <w:rFonts w:ascii="Times New Roman" w:hAnsi="Times New Roman" w:cs="Times New Roman"/>
          <w:sz w:val="36"/>
          <w:szCs w:val="36"/>
        </w:rPr>
        <w:t xml:space="preserve"> полностью занимаются сотрудники полиции, инспектора по их запросу или обращению оказывают всю возможную помощь. По каждому делу, при задержках в расследовании, направляем запросы о ходе проведения расследования и очень часто получаем формальные ответы. </w:t>
      </w:r>
      <w:r w:rsidR="00B67291" w:rsidRPr="00D30867">
        <w:rPr>
          <w:rFonts w:ascii="Times New Roman" w:hAnsi="Times New Roman" w:cs="Times New Roman"/>
          <w:sz w:val="36"/>
          <w:szCs w:val="36"/>
        </w:rPr>
        <w:t>В предыдущие годы в суды направлялось не более 1 - 2 уголовных дел, связанных с незаконной охотой.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B3B51">
        <w:rPr>
          <w:rFonts w:ascii="Times New Roman" w:hAnsi="Times New Roman" w:cs="Times New Roman"/>
          <w:sz w:val="36"/>
          <w:szCs w:val="36"/>
        </w:rPr>
        <w:t xml:space="preserve">Дела разваливаются на стадии проверки и иногда в прокуратуре. </w:t>
      </w:r>
      <w:r w:rsidR="00B67291" w:rsidRPr="00D30867">
        <w:rPr>
          <w:rFonts w:ascii="Times New Roman" w:hAnsi="Times New Roman" w:cs="Times New Roman"/>
          <w:sz w:val="36"/>
          <w:szCs w:val="36"/>
        </w:rPr>
        <w:t xml:space="preserve">Рост раскрываемости преступлений в </w:t>
      </w:r>
      <w:r>
        <w:rPr>
          <w:rFonts w:ascii="Times New Roman" w:hAnsi="Times New Roman" w:cs="Times New Roman"/>
          <w:sz w:val="36"/>
          <w:szCs w:val="36"/>
        </w:rPr>
        <w:t>последние годы</w:t>
      </w:r>
      <w:r w:rsidR="00B67291" w:rsidRPr="00D30867">
        <w:rPr>
          <w:rFonts w:ascii="Times New Roman" w:hAnsi="Times New Roman" w:cs="Times New Roman"/>
          <w:sz w:val="36"/>
          <w:szCs w:val="36"/>
        </w:rPr>
        <w:t xml:space="preserve"> связан с эффективностью мероприятий, проводимых органами внутренних дел при расследовании</w:t>
      </w:r>
      <w:r>
        <w:rPr>
          <w:rFonts w:ascii="Times New Roman" w:hAnsi="Times New Roman" w:cs="Times New Roman"/>
          <w:sz w:val="36"/>
          <w:szCs w:val="36"/>
        </w:rPr>
        <w:t xml:space="preserve"> и активной позицией руководителя</w:t>
      </w:r>
      <w:r w:rsidR="00FB3B51">
        <w:rPr>
          <w:rFonts w:ascii="Times New Roman" w:hAnsi="Times New Roman" w:cs="Times New Roman"/>
          <w:sz w:val="36"/>
          <w:szCs w:val="36"/>
        </w:rPr>
        <w:t xml:space="preserve"> УМВД Тверской области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.</w:t>
      </w:r>
    </w:p>
    <w:sectPr w:rsidR="00B67291" w:rsidRPr="00D30867" w:rsidSect="00D308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CDC"/>
    <w:rsid w:val="00197AFF"/>
    <w:rsid w:val="003569CA"/>
    <w:rsid w:val="00601CDC"/>
    <w:rsid w:val="00B67291"/>
    <w:rsid w:val="00D30867"/>
    <w:rsid w:val="00FB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6464"/>
  <w15:docId w15:val="{A6F08163-2FAA-4D9C-8A55-81A56889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2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1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уголовные дела</c:v>
                </c:pt>
              </c:strCache>
            </c:strRef>
          </c:tx>
          <c:spPr>
            <a:solidFill>
              <a:srgbClr val="92D050"/>
            </a:solidFill>
            <a:ln w="3169"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 w="25354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800" b="0" i="0" u="none" strike="noStrike" kern="1200" baseline="0">
                    <a:solidFill>
                      <a:schemeClr val="tx1"/>
                    </a:solidFill>
                    <a:latin typeface="Times New Roman" pitchFamily="18" charset="0"/>
                    <a:ea typeface="+mn-ea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Лист1!$A$2:$A$10</c:f>
              <c:numCache>
                <c:formatCode>General</c:formatCode>
                <c:ptCount val="9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  <c:pt idx="7">
                  <c:v>2023</c:v>
                </c:pt>
                <c:pt idx="8">
                  <c:v>2024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47</c:v>
                </c:pt>
                <c:pt idx="1">
                  <c:v>53</c:v>
                </c:pt>
                <c:pt idx="2">
                  <c:v>57</c:v>
                </c:pt>
                <c:pt idx="3">
                  <c:v>55</c:v>
                </c:pt>
                <c:pt idx="4">
                  <c:v>53</c:v>
                </c:pt>
                <c:pt idx="5">
                  <c:v>48</c:v>
                </c:pt>
                <c:pt idx="6">
                  <c:v>47</c:v>
                </c:pt>
                <c:pt idx="7">
                  <c:v>45</c:v>
                </c:pt>
                <c:pt idx="8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CC-42FF-8C10-E606B9D4A75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направлены в суд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 w="3169"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 w="25354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800" b="0" i="0" u="none" strike="noStrike" kern="1200" baseline="0">
                    <a:solidFill>
                      <a:schemeClr val="tx1"/>
                    </a:solidFill>
                    <a:latin typeface="Times New Roman" pitchFamily="18" charset="0"/>
                    <a:ea typeface="+mn-ea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Лист1!$A$2:$A$10</c:f>
              <c:numCache>
                <c:formatCode>General</c:formatCode>
                <c:ptCount val="9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  <c:pt idx="7">
                  <c:v>2023</c:v>
                </c:pt>
                <c:pt idx="8">
                  <c:v>2024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8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  <c:pt idx="4">
                  <c:v>17</c:v>
                </c:pt>
                <c:pt idx="5">
                  <c:v>16</c:v>
                </c:pt>
                <c:pt idx="6">
                  <c:v>15</c:v>
                </c:pt>
                <c:pt idx="7">
                  <c:v>14</c:v>
                </c:pt>
                <c:pt idx="8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CC-42FF-8C10-E606B9D4A7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129088"/>
        <c:axId val="149130624"/>
      </c:barChart>
      <c:catAx>
        <c:axId val="149129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09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49130624"/>
        <c:crosses val="autoZero"/>
        <c:auto val="1"/>
        <c:lblAlgn val="ctr"/>
        <c:lblOffset val="100"/>
        <c:noMultiLvlLbl val="0"/>
      </c:catAx>
      <c:valAx>
        <c:axId val="149130624"/>
        <c:scaling>
          <c:orientation val="minMax"/>
          <c:max val="80"/>
          <c:min val="0"/>
        </c:scaling>
        <c:delete val="0"/>
        <c:axPos val="l"/>
        <c:majorGridlines>
          <c:spPr>
            <a:ln w="9509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9509">
            <a:solidFill>
              <a:schemeClr val="bg1">
                <a:lumMod val="85000"/>
              </a:schemeClr>
            </a:solidFill>
          </a:ln>
        </c:spPr>
        <c:txPr>
          <a:bodyPr rot="-6000000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49129088"/>
        <c:crosses val="autoZero"/>
        <c:crossBetween val="between"/>
      </c:valAx>
      <c:spPr>
        <a:noFill/>
        <a:ln w="25377">
          <a:noFill/>
        </a:ln>
      </c:spPr>
    </c:plotArea>
    <c:legend>
      <c:legendPos val="b"/>
      <c:overlay val="0"/>
      <c:spPr>
        <a:noFill/>
        <a:ln w="25354">
          <a:noFill/>
        </a:ln>
      </c:spPr>
      <c:txPr>
        <a:bodyPr rot="0" spcFirstLastPara="1" vertOverflow="ellipsis" vert="horz" wrap="square" anchor="ctr" anchorCtr="1"/>
        <a:lstStyle/>
        <a:p>
          <a:pPr>
            <a:defRPr sz="1796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6</cp:revision>
  <dcterms:created xsi:type="dcterms:W3CDTF">2018-08-21T15:28:00Z</dcterms:created>
  <dcterms:modified xsi:type="dcterms:W3CDTF">2018-08-21T16:15:00Z</dcterms:modified>
</cp:coreProperties>
</file>