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76" w:rsidRPr="00BD5118" w:rsidRDefault="00897EF5">
      <w:pPr>
        <w:rPr>
          <w:rFonts w:ascii="Times New Roman" w:hAnsi="Times New Roman" w:cs="Times New Roman"/>
          <w:b/>
          <w:sz w:val="32"/>
          <w:szCs w:val="32"/>
        </w:rPr>
      </w:pPr>
      <w:r w:rsidRPr="00BD5118">
        <w:rPr>
          <w:rFonts w:ascii="Times New Roman" w:hAnsi="Times New Roman" w:cs="Times New Roman"/>
          <w:b/>
          <w:sz w:val="32"/>
          <w:szCs w:val="32"/>
        </w:rPr>
        <w:t>По теме: электроэнергетика и ЖКХ</w:t>
      </w:r>
    </w:p>
    <w:p w:rsidR="00897EF5" w:rsidRDefault="00E800B7" w:rsidP="00E800B7">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Проблема: цены на ЭЭ для потребителей Тверской области на 40%-60% выше, по сравнению с субъектами ЦФО.</w:t>
      </w:r>
    </w:p>
    <w:p w:rsidR="00E800B7" w:rsidRPr="00BD5118" w:rsidRDefault="00E800B7" w:rsidP="00E800B7">
      <w:pPr>
        <w:ind w:left="360"/>
        <w:rPr>
          <w:rFonts w:ascii="Times New Roman" w:hAnsi="Times New Roman" w:cs="Times New Roman"/>
          <w:b/>
          <w:sz w:val="32"/>
          <w:szCs w:val="32"/>
        </w:rPr>
      </w:pPr>
      <w:r w:rsidRPr="00BD5118">
        <w:rPr>
          <w:rFonts w:ascii="Times New Roman" w:hAnsi="Times New Roman" w:cs="Times New Roman"/>
          <w:b/>
          <w:sz w:val="32"/>
          <w:szCs w:val="32"/>
        </w:rPr>
        <w:t>Предложения Правительства Тверской области:</w:t>
      </w:r>
    </w:p>
    <w:p w:rsidR="00897EF5" w:rsidRPr="00E800B7" w:rsidRDefault="00E800B7" w:rsidP="00E800B7">
      <w:pPr>
        <w:ind w:left="360"/>
        <w:jc w:val="both"/>
        <w:rPr>
          <w:rFonts w:ascii="Times New Roman" w:hAnsi="Times New Roman" w:cs="Times New Roman"/>
          <w:sz w:val="32"/>
          <w:szCs w:val="32"/>
        </w:rPr>
      </w:pPr>
      <w:r>
        <w:rPr>
          <w:rFonts w:ascii="Times New Roman" w:hAnsi="Times New Roman" w:cs="Times New Roman"/>
          <w:sz w:val="32"/>
          <w:szCs w:val="32"/>
        </w:rPr>
        <w:t xml:space="preserve">а) </w:t>
      </w:r>
      <w:r w:rsidR="00897EF5" w:rsidRPr="00E800B7">
        <w:rPr>
          <w:rFonts w:ascii="Times New Roman" w:hAnsi="Times New Roman" w:cs="Times New Roman"/>
          <w:sz w:val="32"/>
          <w:szCs w:val="32"/>
        </w:rPr>
        <w:t>Реорганизация ПАО «ФСК ЕЭС» и ПАО «МРСК» путем слияния – возможность снижения цен на электроэнергию для потребителей субъектов РФ;</w:t>
      </w:r>
    </w:p>
    <w:p w:rsidR="00897EF5" w:rsidRDefault="00897EF5" w:rsidP="00050A70">
      <w:pPr>
        <w:jc w:val="both"/>
        <w:rPr>
          <w:rFonts w:ascii="Times New Roman" w:hAnsi="Times New Roman" w:cs="Times New Roman"/>
          <w:sz w:val="32"/>
          <w:szCs w:val="32"/>
        </w:rPr>
      </w:pPr>
    </w:p>
    <w:p w:rsidR="00897EF5" w:rsidRPr="00E800B7" w:rsidRDefault="00E800B7" w:rsidP="00E800B7">
      <w:pPr>
        <w:ind w:left="425"/>
        <w:jc w:val="both"/>
        <w:rPr>
          <w:rFonts w:ascii="Times New Roman" w:hAnsi="Times New Roman" w:cs="Times New Roman"/>
          <w:sz w:val="32"/>
          <w:szCs w:val="32"/>
        </w:rPr>
      </w:pPr>
      <w:r>
        <w:rPr>
          <w:rFonts w:ascii="Times New Roman" w:hAnsi="Times New Roman" w:cs="Times New Roman"/>
          <w:sz w:val="32"/>
          <w:szCs w:val="32"/>
        </w:rPr>
        <w:t xml:space="preserve">б) </w:t>
      </w:r>
      <w:r w:rsidR="00897EF5" w:rsidRPr="00E800B7">
        <w:rPr>
          <w:rFonts w:ascii="Times New Roman" w:hAnsi="Times New Roman" w:cs="Times New Roman"/>
          <w:sz w:val="32"/>
          <w:szCs w:val="32"/>
        </w:rPr>
        <w:t xml:space="preserve">Внесение изменений в Основы ценообразования в сфере электроэнергетики в части утверждения единых тарифов на услуги по передаче ЭЭ, для потребителей ПАО «МРСК», </w:t>
      </w:r>
      <w:r w:rsidR="00C0651F" w:rsidRPr="00E800B7">
        <w:rPr>
          <w:rFonts w:ascii="Times New Roman" w:hAnsi="Times New Roman" w:cs="Times New Roman"/>
          <w:sz w:val="32"/>
          <w:szCs w:val="32"/>
        </w:rPr>
        <w:t>расположенных в зонах присутствия компаний группы на территории субъектов РФ – позволит обеспечить равные возможности инвестиционного развития регионов.</w:t>
      </w:r>
    </w:p>
    <w:p w:rsidR="00E800B7" w:rsidRPr="00E800B7" w:rsidRDefault="00E800B7" w:rsidP="00E800B7">
      <w:pPr>
        <w:pStyle w:val="a3"/>
        <w:rPr>
          <w:rFonts w:ascii="Times New Roman" w:hAnsi="Times New Roman" w:cs="Times New Roman"/>
          <w:sz w:val="32"/>
          <w:szCs w:val="32"/>
        </w:rPr>
      </w:pP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В Тверской области сложилась критическая ситуация с финансированием в необходимом объеме производственных нужд электросетевого комплекса. Являясь крупнейшей по площади в Центральном федеральном округе, Тверская область имеет огромную протяженность сетей при достаточно низком уровне электропотребления ввиду значительной доли непромышленных и бытовых потребителей. В результате расходы на содержание электросетевой инфраструктуры распределяются на ограниченный объем электропотребления, что формирует высокий размер тарифа для потребителей Тверской области.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В настоящий момент отсутствует технологическая возможность присоединения потребителей в муниципальных образованиях Тверской области, в том числе в городе Твери, близлежащем Калининском районе, Конаковском районе, что ставит под угрозу осуществление жилищного строительства, ввода в эксплуатацию производственных объектов.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Существующая модель ценообразования на услуги по передаче электрической энергии в разрезе субъектов Российской Федерации, распределения доходов и расходов в разрезе </w:t>
      </w:r>
      <w:r>
        <w:rPr>
          <w:rFonts w:ascii="Times New Roman" w:eastAsia="Times New Roman" w:hAnsi="Times New Roman" w:cs="Times New Roman"/>
          <w:sz w:val="32"/>
          <w:szCs w:val="32"/>
          <w:lang w:eastAsia="ru-RU"/>
        </w:rPr>
        <w:t>компаний группы</w:t>
      </w:r>
      <w:r w:rsidRPr="00E800B7">
        <w:rPr>
          <w:rFonts w:ascii="Times New Roman" w:eastAsia="Times New Roman" w:hAnsi="Times New Roman" w:cs="Times New Roman"/>
          <w:sz w:val="32"/>
          <w:szCs w:val="32"/>
          <w:lang w:eastAsia="ru-RU"/>
        </w:rPr>
        <w:t xml:space="preserve"> ПАО </w:t>
      </w:r>
      <w:r w:rsidRPr="00E800B7">
        <w:rPr>
          <w:rFonts w:ascii="Times New Roman" w:eastAsia="Times New Roman" w:hAnsi="Times New Roman" w:cs="Times New Roman"/>
          <w:sz w:val="32"/>
          <w:szCs w:val="32"/>
          <w:lang w:eastAsia="ru-RU"/>
        </w:rPr>
        <w:lastRenderedPageBreak/>
        <w:t xml:space="preserve">«МРСК» ставит в неравенство Тверскую область по сравнению с другими регионами Центрального федерального округа.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Отличительной особенностью энергосистемы Тверского региона является большое количество электросетевого оборудования, приходящееся на небольшую величину полезного отпуска электроэнергии ввиду отсутствия энергоемких потребителей. Соотношение количество оборудования, приходящегося на 1 киловатт-час полезного отпуска, в Тверской области в 2,5 раза выше, чем, например, в Белгородской или Липецкой областях и на 48% выше, чем этот показатель складывается в среднем по зоне деятельности ПАО «МРСК Центра». Как результат, нагрузка на содержание большого количества электросетевых объектов ложится непомерным бременем на ограниченное число потребителей, тарифная нагрузка на каждого потребителя Тверской области оказывается выше, чем в соседних регионах. </w:t>
      </w:r>
    </w:p>
    <w:p w:rsid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При этом расходы на содержание электросетевых объектов в Тверской области в расчете на 1 условную единицу оборудования ниже, чем в соседних субъектах. Например, по отношению к Белгородской или Липецкой областям на 70%, а в среднем по зоне деятельности ПАО «МРСК Центра» эта величина ниже на 35%. </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sidRPr="00E800B7">
        <w:rPr>
          <w:rFonts w:ascii="Times New Roman" w:eastAsia="Times New Roman" w:hAnsi="Times New Roman" w:cs="Times New Roman"/>
          <w:sz w:val="32"/>
          <w:szCs w:val="32"/>
          <w:lang w:eastAsia="ru-RU"/>
        </w:rPr>
        <w:t xml:space="preserve">В таких условиях очевидным выглядит имеющееся неравенство в инвестиционных параметрах электросетевого комплекса в Тверской области по отношению к аналогичным параметрам, складывающимся в прочих субъектах РФ в зоне деятельности </w:t>
      </w:r>
      <w:r>
        <w:rPr>
          <w:rFonts w:ascii="Times New Roman" w:eastAsia="Times New Roman" w:hAnsi="Times New Roman" w:cs="Times New Roman"/>
          <w:sz w:val="32"/>
          <w:szCs w:val="32"/>
          <w:lang w:eastAsia="ru-RU"/>
        </w:rPr>
        <w:t xml:space="preserve">компаний группы </w:t>
      </w:r>
      <w:r w:rsidRPr="00E800B7">
        <w:rPr>
          <w:rFonts w:ascii="Times New Roman" w:eastAsia="Times New Roman" w:hAnsi="Times New Roman" w:cs="Times New Roman"/>
          <w:sz w:val="32"/>
          <w:szCs w:val="32"/>
          <w:lang w:eastAsia="ru-RU"/>
        </w:rPr>
        <w:t>ПАО «</w:t>
      </w:r>
      <w:proofErr w:type="spellStart"/>
      <w:r>
        <w:rPr>
          <w:rFonts w:ascii="Times New Roman" w:eastAsia="Times New Roman" w:hAnsi="Times New Roman" w:cs="Times New Roman"/>
          <w:sz w:val="32"/>
          <w:szCs w:val="32"/>
          <w:lang w:eastAsia="ru-RU"/>
        </w:rPr>
        <w:t>Россети</w:t>
      </w:r>
      <w:proofErr w:type="spellEnd"/>
      <w:r w:rsidRPr="00E800B7">
        <w:rPr>
          <w:rFonts w:ascii="Times New Roman" w:eastAsia="Times New Roman" w:hAnsi="Times New Roman" w:cs="Times New Roman"/>
          <w:sz w:val="32"/>
          <w:szCs w:val="32"/>
          <w:lang w:eastAsia="ru-RU"/>
        </w:rPr>
        <w:t>», при том, что электросетевые тарифы в Тверской области являются самыми высокими в ЦФО.</w:t>
      </w:r>
    </w:p>
    <w:p w:rsidR="00E800B7" w:rsidRPr="00E800B7" w:rsidRDefault="00E800B7" w:rsidP="00E800B7">
      <w:pPr>
        <w:spacing w:after="0" w:line="240" w:lineRule="auto"/>
        <w:ind w:firstLine="567"/>
        <w:jc w:val="both"/>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Н</w:t>
      </w:r>
      <w:r w:rsidRPr="00E800B7">
        <w:rPr>
          <w:rFonts w:ascii="Times New Roman" w:eastAsia="Times New Roman" w:hAnsi="Times New Roman" w:cs="Times New Roman"/>
          <w:sz w:val="32"/>
          <w:szCs w:val="32"/>
          <w:lang w:eastAsia="ru-RU"/>
        </w:rPr>
        <w:t xml:space="preserve">еобходимо рассмотреть целесообразность изменения модели перераспределения доходов и расходов в разрезе </w:t>
      </w:r>
      <w:r>
        <w:rPr>
          <w:rFonts w:ascii="Times New Roman" w:eastAsia="Times New Roman" w:hAnsi="Times New Roman" w:cs="Times New Roman"/>
          <w:sz w:val="32"/>
          <w:szCs w:val="32"/>
          <w:lang w:eastAsia="ru-RU"/>
        </w:rPr>
        <w:t>компаний группы</w:t>
      </w:r>
      <w:r w:rsidRPr="00E800B7">
        <w:rPr>
          <w:rFonts w:ascii="Times New Roman" w:eastAsia="Times New Roman" w:hAnsi="Times New Roman" w:cs="Times New Roman"/>
          <w:sz w:val="32"/>
          <w:szCs w:val="32"/>
          <w:lang w:eastAsia="ru-RU"/>
        </w:rPr>
        <w:t xml:space="preserve"> ПАО «</w:t>
      </w:r>
      <w:proofErr w:type="spellStart"/>
      <w:r>
        <w:rPr>
          <w:rFonts w:ascii="Times New Roman" w:eastAsia="Times New Roman" w:hAnsi="Times New Roman" w:cs="Times New Roman"/>
          <w:sz w:val="32"/>
          <w:szCs w:val="32"/>
          <w:lang w:eastAsia="ru-RU"/>
        </w:rPr>
        <w:t>Россети</w:t>
      </w:r>
      <w:proofErr w:type="spellEnd"/>
      <w:r w:rsidRPr="00E800B7">
        <w:rPr>
          <w:rFonts w:ascii="Times New Roman" w:eastAsia="Times New Roman" w:hAnsi="Times New Roman" w:cs="Times New Roman"/>
          <w:sz w:val="32"/>
          <w:szCs w:val="32"/>
          <w:lang w:eastAsia="ru-RU"/>
        </w:rPr>
        <w:t xml:space="preserve">»: электроэнергетика является основой функционирования экономики и жизнеобеспечения исходя из положений одноименного федерального закона, однако текущая модель ставит в зависимость инвестиционную привлекательность, качество жизни и ведения бизнеса регионов напрямую от их экономико-географических особенностей, в то время как Конституция Российской Федерации гарантирует единство экономического пространства на территории Российской Федерации, свободу доступа к товарам и услугам. Произошедшее в этом ключе в последние годы реформирование </w:t>
      </w:r>
      <w:r w:rsidRPr="00E800B7">
        <w:rPr>
          <w:rFonts w:ascii="Times New Roman" w:eastAsia="Times New Roman" w:hAnsi="Times New Roman" w:cs="Times New Roman"/>
          <w:sz w:val="32"/>
          <w:szCs w:val="32"/>
          <w:lang w:eastAsia="ru-RU"/>
        </w:rPr>
        <w:lastRenderedPageBreak/>
        <w:t xml:space="preserve">электроэнергетической отрасли в Российской Федерации обеспечило практически выравнивание для конечного потребителя стоимости </w:t>
      </w:r>
      <w:r w:rsidRPr="00E800B7">
        <w:rPr>
          <w:rFonts w:ascii="Times New Roman" w:eastAsia="Times New Roman" w:hAnsi="Times New Roman" w:cs="Times New Roman"/>
          <w:b/>
          <w:sz w:val="32"/>
          <w:szCs w:val="32"/>
          <w:u w:val="single"/>
          <w:lang w:eastAsia="ru-RU"/>
        </w:rPr>
        <w:t xml:space="preserve">выработки </w:t>
      </w:r>
      <w:r w:rsidRPr="00E800B7">
        <w:rPr>
          <w:rFonts w:ascii="Times New Roman" w:eastAsia="Times New Roman" w:hAnsi="Times New Roman" w:cs="Times New Roman"/>
          <w:sz w:val="32"/>
          <w:szCs w:val="32"/>
          <w:lang w:eastAsia="ru-RU"/>
        </w:rPr>
        <w:t xml:space="preserve">электрической энергии внутри одной ценовой зоны независимо от региона его нахождения, в то время как дисбаланс по стоимости </w:t>
      </w:r>
      <w:r w:rsidRPr="00E800B7">
        <w:rPr>
          <w:rFonts w:ascii="Times New Roman" w:eastAsia="Times New Roman" w:hAnsi="Times New Roman" w:cs="Times New Roman"/>
          <w:b/>
          <w:sz w:val="32"/>
          <w:szCs w:val="32"/>
          <w:u w:val="single"/>
          <w:lang w:eastAsia="ru-RU"/>
        </w:rPr>
        <w:t>транспортировки электрической энергии</w:t>
      </w:r>
      <w:r w:rsidRPr="00E800B7">
        <w:rPr>
          <w:rFonts w:ascii="Times New Roman" w:eastAsia="Times New Roman" w:hAnsi="Times New Roman" w:cs="Times New Roman"/>
          <w:sz w:val="32"/>
          <w:szCs w:val="32"/>
          <w:lang w:eastAsia="ru-RU"/>
        </w:rPr>
        <w:t xml:space="preserve"> до потребителя, а также по плате за подключение потребителя к электросетям сетям в разных регионах только нарастает.</w:t>
      </w:r>
    </w:p>
    <w:p w:rsidR="00E800B7" w:rsidRPr="00E800B7" w:rsidRDefault="00E800B7" w:rsidP="00BD5118">
      <w:pPr>
        <w:spacing w:after="0" w:line="240" w:lineRule="auto"/>
        <w:ind w:firstLine="567"/>
        <w:jc w:val="both"/>
        <w:rPr>
          <w:rFonts w:ascii="Times New Roman" w:hAnsi="Times New Roman" w:cs="Times New Roman"/>
          <w:sz w:val="32"/>
          <w:szCs w:val="32"/>
        </w:rPr>
      </w:pPr>
      <w:r w:rsidRPr="00E800B7">
        <w:rPr>
          <w:rFonts w:ascii="Times New Roman" w:eastAsia="Times New Roman" w:hAnsi="Times New Roman" w:cs="Times New Roman"/>
          <w:sz w:val="32"/>
          <w:szCs w:val="32"/>
          <w:lang w:eastAsia="ru-RU"/>
        </w:rPr>
        <w:t xml:space="preserve">Правительство Тверской области </w:t>
      </w:r>
      <w:r>
        <w:rPr>
          <w:rFonts w:ascii="Times New Roman" w:eastAsia="Times New Roman" w:hAnsi="Times New Roman" w:cs="Times New Roman"/>
          <w:sz w:val="32"/>
          <w:szCs w:val="32"/>
          <w:lang w:eastAsia="ru-RU"/>
        </w:rPr>
        <w:t>предлагает</w:t>
      </w:r>
      <w:r w:rsidRPr="00E800B7">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eastAsia="ru-RU"/>
        </w:rPr>
        <w:t xml:space="preserve">внести соответствующие изменения в Федеральный закон Российской Федерации </w:t>
      </w:r>
      <w:r w:rsidR="00BD5118">
        <w:rPr>
          <w:rFonts w:ascii="Times New Roman" w:eastAsia="Times New Roman" w:hAnsi="Times New Roman" w:cs="Times New Roman"/>
          <w:sz w:val="32"/>
          <w:szCs w:val="32"/>
          <w:lang w:eastAsia="ru-RU"/>
        </w:rPr>
        <w:t xml:space="preserve">№ 35-ФЗ «Об электроэнергетике». </w:t>
      </w:r>
    </w:p>
    <w:p w:rsidR="00C0651F" w:rsidRPr="00C0651F" w:rsidRDefault="00C0651F" w:rsidP="00050A70">
      <w:pPr>
        <w:pStyle w:val="a3"/>
        <w:jc w:val="both"/>
        <w:rPr>
          <w:rFonts w:ascii="Times New Roman" w:hAnsi="Times New Roman" w:cs="Times New Roman"/>
          <w:sz w:val="32"/>
          <w:szCs w:val="32"/>
        </w:rPr>
      </w:pPr>
    </w:p>
    <w:p w:rsidR="00C0651F" w:rsidRPr="00897EF5" w:rsidRDefault="00C0651F" w:rsidP="00050A70">
      <w:pPr>
        <w:pStyle w:val="a3"/>
        <w:numPr>
          <w:ilvl w:val="0"/>
          <w:numId w:val="1"/>
        </w:numPr>
        <w:jc w:val="both"/>
        <w:rPr>
          <w:rFonts w:ascii="Times New Roman" w:hAnsi="Times New Roman" w:cs="Times New Roman"/>
          <w:sz w:val="32"/>
          <w:szCs w:val="32"/>
        </w:rPr>
      </w:pPr>
      <w:r>
        <w:rPr>
          <w:rFonts w:ascii="Times New Roman" w:hAnsi="Times New Roman" w:cs="Times New Roman"/>
          <w:sz w:val="32"/>
          <w:szCs w:val="32"/>
        </w:rPr>
        <w:t>Модернизация и реконструкция объектов ком</w:t>
      </w:r>
      <w:r w:rsidR="00050A70">
        <w:rPr>
          <w:rFonts w:ascii="Times New Roman" w:hAnsi="Times New Roman" w:cs="Times New Roman"/>
          <w:sz w:val="32"/>
          <w:szCs w:val="32"/>
        </w:rPr>
        <w:t>мунальной инфраструктуры регионов РФ</w:t>
      </w:r>
      <w:r>
        <w:rPr>
          <w:rFonts w:ascii="Times New Roman" w:hAnsi="Times New Roman" w:cs="Times New Roman"/>
          <w:sz w:val="32"/>
          <w:szCs w:val="32"/>
        </w:rPr>
        <w:t xml:space="preserve"> за счет субсидий из федерального бюдж</w:t>
      </w:r>
      <w:r w:rsidR="00050A70">
        <w:rPr>
          <w:rFonts w:ascii="Times New Roman" w:hAnsi="Times New Roman" w:cs="Times New Roman"/>
          <w:sz w:val="32"/>
          <w:szCs w:val="32"/>
        </w:rPr>
        <w:t>ета РФ.</w:t>
      </w:r>
    </w:p>
    <w:p w:rsidR="00CC1737" w:rsidRDefault="00CC1737" w:rsidP="00CC1737">
      <w:pPr>
        <w:ind w:firstLine="708"/>
        <w:jc w:val="both"/>
        <w:rPr>
          <w:rFonts w:ascii="Times New Roman" w:hAnsi="Times New Roman" w:cs="Times New Roman"/>
          <w:sz w:val="32"/>
          <w:szCs w:val="32"/>
        </w:rPr>
      </w:pPr>
      <w:r>
        <w:rPr>
          <w:rFonts w:ascii="Times New Roman" w:hAnsi="Times New Roman" w:cs="Times New Roman"/>
          <w:sz w:val="32"/>
          <w:szCs w:val="32"/>
        </w:rPr>
        <w:t>Износ коммунальной инфраструктуры регионов РФ достиг критической величины, привлечение средств частных инвесторов невозможно.</w:t>
      </w:r>
    </w:p>
    <w:p w:rsidR="00CC1737" w:rsidRPr="00CC1737" w:rsidRDefault="00CC1737" w:rsidP="00CC1737">
      <w:pPr>
        <w:ind w:firstLine="708"/>
        <w:jc w:val="both"/>
        <w:rPr>
          <w:rFonts w:ascii="Times New Roman" w:hAnsi="Times New Roman" w:cs="Times New Roman"/>
          <w:b/>
          <w:sz w:val="32"/>
          <w:szCs w:val="32"/>
        </w:rPr>
      </w:pPr>
      <w:r w:rsidRPr="00CC1737">
        <w:rPr>
          <w:rFonts w:ascii="Times New Roman" w:hAnsi="Times New Roman" w:cs="Times New Roman"/>
          <w:b/>
          <w:sz w:val="32"/>
          <w:szCs w:val="32"/>
        </w:rPr>
        <w:t>Предложение:</w:t>
      </w:r>
    </w:p>
    <w:p w:rsidR="00897EF5" w:rsidRDefault="00CC1737" w:rsidP="00CC1737">
      <w:pPr>
        <w:jc w:val="both"/>
        <w:rPr>
          <w:rFonts w:ascii="Times New Roman" w:hAnsi="Times New Roman" w:cs="Times New Roman"/>
          <w:sz w:val="32"/>
          <w:szCs w:val="32"/>
        </w:rPr>
      </w:pPr>
      <w:r>
        <w:rPr>
          <w:rFonts w:ascii="Times New Roman" w:hAnsi="Times New Roman" w:cs="Times New Roman"/>
          <w:sz w:val="32"/>
          <w:szCs w:val="32"/>
        </w:rPr>
        <w:tab/>
        <w:t>Разработка федеральной целевой программы по модернизации (реконструкции) объектов инфраструктурных отраслей муниципальной (государственной) собственности, с возможностью софинансирования из федерального бюджета   РФ.</w:t>
      </w:r>
    </w:p>
    <w:p w:rsidR="00CC1737" w:rsidRDefault="00CC1737" w:rsidP="003C5F29">
      <w:pPr>
        <w:jc w:val="both"/>
        <w:rPr>
          <w:rFonts w:ascii="Times New Roman" w:hAnsi="Times New Roman" w:cs="Times New Roman"/>
          <w:sz w:val="32"/>
          <w:szCs w:val="32"/>
        </w:rPr>
      </w:pPr>
      <w:r>
        <w:rPr>
          <w:rFonts w:ascii="Times New Roman" w:hAnsi="Times New Roman" w:cs="Times New Roman"/>
          <w:sz w:val="32"/>
          <w:szCs w:val="32"/>
        </w:rPr>
        <w:t>Правительство Тверской области предлагает разработать ФЦП и внести</w:t>
      </w:r>
      <w:r w:rsidR="003C5F29">
        <w:rPr>
          <w:rFonts w:ascii="Times New Roman" w:hAnsi="Times New Roman" w:cs="Times New Roman"/>
          <w:sz w:val="32"/>
          <w:szCs w:val="32"/>
        </w:rPr>
        <w:t xml:space="preserve"> изменения в закон о бюджете РФ, с учетом доли софинансирования из федерального бюджета не менее 80%. Позволит снизить тарифную нагрузку на потребителей и обеспечить надежность и качество услуг, а также стабилизовать платежную </w:t>
      </w:r>
      <w:bookmarkStart w:id="0" w:name="_GoBack"/>
      <w:bookmarkEnd w:id="0"/>
      <w:r w:rsidR="003C5F29">
        <w:rPr>
          <w:rFonts w:ascii="Times New Roman" w:hAnsi="Times New Roman" w:cs="Times New Roman"/>
          <w:sz w:val="32"/>
          <w:szCs w:val="32"/>
        </w:rPr>
        <w:t xml:space="preserve">дисциплину участников розничного рынка субъектов РФ.  </w:t>
      </w:r>
    </w:p>
    <w:p w:rsidR="003C5F29" w:rsidRDefault="003C5F29" w:rsidP="00CC1737">
      <w:pPr>
        <w:jc w:val="both"/>
        <w:rPr>
          <w:rFonts w:ascii="Times New Roman" w:hAnsi="Times New Roman" w:cs="Times New Roman"/>
          <w:sz w:val="32"/>
          <w:szCs w:val="32"/>
        </w:rPr>
      </w:pPr>
    </w:p>
    <w:p w:rsidR="00350EDE" w:rsidRPr="00350EDE" w:rsidRDefault="00350EDE" w:rsidP="003C5F29">
      <w:pPr>
        <w:pStyle w:val="a3"/>
        <w:numPr>
          <w:ilvl w:val="0"/>
          <w:numId w:val="1"/>
        </w:numPr>
        <w:jc w:val="both"/>
        <w:rPr>
          <w:rFonts w:ascii="Times New Roman" w:hAnsi="Times New Roman" w:cs="Times New Roman"/>
          <w:b/>
          <w:sz w:val="32"/>
          <w:szCs w:val="32"/>
        </w:rPr>
      </w:pPr>
      <w:r w:rsidRPr="00350EDE">
        <w:rPr>
          <w:rFonts w:ascii="Times New Roman" w:hAnsi="Times New Roman" w:cs="Times New Roman"/>
          <w:b/>
          <w:sz w:val="32"/>
          <w:szCs w:val="32"/>
        </w:rPr>
        <w:t>Содержание и текущий ремонт жилищного фонда.</w:t>
      </w:r>
    </w:p>
    <w:p w:rsidR="003C5F29" w:rsidRPr="00350EDE" w:rsidRDefault="003C5F29" w:rsidP="00350EDE">
      <w:pPr>
        <w:ind w:left="425"/>
        <w:jc w:val="both"/>
        <w:rPr>
          <w:rFonts w:ascii="Times New Roman" w:hAnsi="Times New Roman" w:cs="Times New Roman"/>
          <w:sz w:val="32"/>
          <w:szCs w:val="32"/>
        </w:rPr>
      </w:pPr>
      <w:r w:rsidRPr="00350EDE">
        <w:rPr>
          <w:rFonts w:ascii="Times New Roman" w:hAnsi="Times New Roman" w:cs="Times New Roman"/>
          <w:b/>
          <w:sz w:val="32"/>
          <w:szCs w:val="32"/>
        </w:rPr>
        <w:t>Проблема</w:t>
      </w:r>
      <w:r w:rsidRPr="00350EDE">
        <w:rPr>
          <w:rFonts w:ascii="Times New Roman" w:hAnsi="Times New Roman" w:cs="Times New Roman"/>
          <w:sz w:val="32"/>
          <w:szCs w:val="32"/>
        </w:rPr>
        <w:t xml:space="preserve"> – износ жилищного фонда, нарушения договорных отношений управляющими компаниями, отсутствие качественной услуги по содержанию и ремонту жилищного фонда, недобросовестное ведение бизнеса.</w:t>
      </w:r>
    </w:p>
    <w:p w:rsidR="003C5F29" w:rsidRDefault="003C5F29" w:rsidP="003C5F29">
      <w:pPr>
        <w:jc w:val="both"/>
        <w:rPr>
          <w:rFonts w:ascii="Times New Roman" w:hAnsi="Times New Roman" w:cs="Times New Roman"/>
          <w:sz w:val="32"/>
          <w:szCs w:val="32"/>
        </w:rPr>
      </w:pPr>
    </w:p>
    <w:p w:rsidR="003C5F29" w:rsidRPr="003C5F29" w:rsidRDefault="003C5F29" w:rsidP="003C5F29">
      <w:pPr>
        <w:jc w:val="both"/>
        <w:rPr>
          <w:rFonts w:ascii="Times New Roman" w:hAnsi="Times New Roman" w:cs="Times New Roman"/>
          <w:b/>
          <w:sz w:val="32"/>
          <w:szCs w:val="32"/>
        </w:rPr>
      </w:pPr>
      <w:r w:rsidRPr="003C5F29">
        <w:rPr>
          <w:rFonts w:ascii="Times New Roman" w:hAnsi="Times New Roman" w:cs="Times New Roman"/>
          <w:b/>
          <w:sz w:val="32"/>
          <w:szCs w:val="32"/>
        </w:rPr>
        <w:t>Предложения Правительства Тверской области:</w:t>
      </w:r>
    </w:p>
    <w:p w:rsidR="003C5F29" w:rsidRDefault="003C5F29" w:rsidP="003C5F29">
      <w:pPr>
        <w:jc w:val="both"/>
        <w:rPr>
          <w:rFonts w:ascii="Times New Roman" w:hAnsi="Times New Roman" w:cs="Times New Roman"/>
          <w:sz w:val="32"/>
          <w:szCs w:val="32"/>
        </w:rPr>
      </w:pPr>
      <w:r w:rsidRPr="003C5F29">
        <w:rPr>
          <w:rFonts w:ascii="Times New Roman" w:hAnsi="Times New Roman" w:cs="Times New Roman"/>
          <w:sz w:val="32"/>
          <w:szCs w:val="32"/>
        </w:rPr>
        <w:t>Внесение изменение в Жилищный Кодекс в части создания Единого регионального оператора по содержанию и обслуживанию жилищного фонда с введением регулирования услуг по содержанию жилищного фонда на уровне субъекта РФ. Путем установления единого тарифа на содержание и текущий ремонт жилищного фонда по региону.</w:t>
      </w:r>
    </w:p>
    <w:p w:rsidR="003C5F29" w:rsidRDefault="003C5F29" w:rsidP="003C5F29">
      <w:pPr>
        <w:jc w:val="both"/>
        <w:rPr>
          <w:rFonts w:ascii="Times New Roman" w:hAnsi="Times New Roman" w:cs="Times New Roman"/>
          <w:sz w:val="32"/>
          <w:szCs w:val="32"/>
        </w:rPr>
      </w:pPr>
    </w:p>
    <w:p w:rsidR="003C5F29" w:rsidRPr="00350EDE" w:rsidRDefault="003C5F29" w:rsidP="003C5F29">
      <w:pPr>
        <w:pStyle w:val="a3"/>
        <w:numPr>
          <w:ilvl w:val="0"/>
          <w:numId w:val="1"/>
        </w:numPr>
        <w:jc w:val="both"/>
        <w:rPr>
          <w:rFonts w:ascii="Times New Roman" w:hAnsi="Times New Roman" w:cs="Times New Roman"/>
          <w:b/>
          <w:sz w:val="32"/>
          <w:szCs w:val="32"/>
        </w:rPr>
      </w:pPr>
      <w:r w:rsidRPr="00350EDE">
        <w:rPr>
          <w:rFonts w:ascii="Times New Roman" w:hAnsi="Times New Roman" w:cs="Times New Roman"/>
          <w:b/>
          <w:sz w:val="32"/>
          <w:szCs w:val="32"/>
        </w:rPr>
        <w:t>Программа по переселению граждан из ветхого аварийного жилья субъектов РФ.</w:t>
      </w:r>
    </w:p>
    <w:p w:rsidR="003C5F29" w:rsidRDefault="003C5F29" w:rsidP="003C5F29">
      <w:pPr>
        <w:pStyle w:val="a3"/>
        <w:ind w:left="785"/>
        <w:jc w:val="both"/>
        <w:rPr>
          <w:rFonts w:ascii="Times New Roman" w:hAnsi="Times New Roman" w:cs="Times New Roman"/>
          <w:sz w:val="32"/>
          <w:szCs w:val="32"/>
        </w:rPr>
      </w:pPr>
    </w:p>
    <w:p w:rsidR="003C5F29" w:rsidRDefault="003C5F29" w:rsidP="003C5F29">
      <w:pPr>
        <w:pStyle w:val="a3"/>
        <w:ind w:left="785"/>
        <w:jc w:val="both"/>
        <w:rPr>
          <w:rFonts w:ascii="Times New Roman" w:hAnsi="Times New Roman" w:cs="Times New Roman"/>
          <w:sz w:val="32"/>
          <w:szCs w:val="32"/>
        </w:rPr>
      </w:pPr>
      <w:r>
        <w:rPr>
          <w:rFonts w:ascii="Times New Roman" w:hAnsi="Times New Roman" w:cs="Times New Roman"/>
          <w:sz w:val="32"/>
          <w:szCs w:val="32"/>
        </w:rPr>
        <w:t xml:space="preserve">Проблема: в 2017 году завершена программа по переселению граждан из ветхого аварийного жилья, </w:t>
      </w:r>
      <w:r w:rsidR="00350EDE">
        <w:rPr>
          <w:rFonts w:ascii="Times New Roman" w:hAnsi="Times New Roman" w:cs="Times New Roman"/>
          <w:sz w:val="32"/>
          <w:szCs w:val="32"/>
        </w:rPr>
        <w:t>проблема решена менее чем на 25% от потребности.</w:t>
      </w:r>
    </w:p>
    <w:p w:rsidR="00350EDE" w:rsidRDefault="00350EDE" w:rsidP="00350EDE">
      <w:pPr>
        <w:jc w:val="both"/>
        <w:rPr>
          <w:rFonts w:ascii="Times New Roman" w:hAnsi="Times New Roman" w:cs="Times New Roman"/>
          <w:sz w:val="32"/>
          <w:szCs w:val="32"/>
        </w:rPr>
      </w:pPr>
    </w:p>
    <w:p w:rsidR="00350EDE" w:rsidRPr="00350EDE" w:rsidRDefault="00350EDE" w:rsidP="00350EDE">
      <w:pPr>
        <w:jc w:val="both"/>
        <w:rPr>
          <w:rFonts w:ascii="Times New Roman" w:hAnsi="Times New Roman" w:cs="Times New Roman"/>
          <w:b/>
          <w:sz w:val="32"/>
          <w:szCs w:val="32"/>
        </w:rPr>
      </w:pPr>
      <w:r w:rsidRPr="00350EDE">
        <w:rPr>
          <w:rFonts w:ascii="Times New Roman" w:hAnsi="Times New Roman" w:cs="Times New Roman"/>
          <w:b/>
          <w:sz w:val="32"/>
          <w:szCs w:val="32"/>
        </w:rPr>
        <w:t>Предложения Правительства Тверской области:</w:t>
      </w:r>
    </w:p>
    <w:p w:rsidR="00350EDE" w:rsidRPr="00350EDE" w:rsidRDefault="00350EDE" w:rsidP="00350EDE">
      <w:pPr>
        <w:jc w:val="both"/>
        <w:rPr>
          <w:rFonts w:ascii="Times New Roman" w:hAnsi="Times New Roman" w:cs="Times New Roman"/>
          <w:sz w:val="32"/>
          <w:szCs w:val="32"/>
        </w:rPr>
      </w:pPr>
      <w:r>
        <w:rPr>
          <w:rFonts w:ascii="Times New Roman" w:hAnsi="Times New Roman" w:cs="Times New Roman"/>
          <w:sz w:val="32"/>
          <w:szCs w:val="32"/>
        </w:rPr>
        <w:t>Восстановить действие Программы на период с 2019 г. по 2024 год на прежних условиях софинансирования (80% - Фонд).</w:t>
      </w:r>
    </w:p>
    <w:sectPr w:rsidR="00350EDE" w:rsidRPr="00350E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5602A"/>
    <w:multiLevelType w:val="hybridMultilevel"/>
    <w:tmpl w:val="55669764"/>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F5"/>
    <w:rsid w:val="00050A70"/>
    <w:rsid w:val="00347976"/>
    <w:rsid w:val="00350EDE"/>
    <w:rsid w:val="003C5F29"/>
    <w:rsid w:val="00897EF5"/>
    <w:rsid w:val="00BD5118"/>
    <w:rsid w:val="00C0651F"/>
    <w:rsid w:val="00CC1737"/>
    <w:rsid w:val="00E800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FEE1"/>
  <w15:chartTrackingRefBased/>
  <w15:docId w15:val="{E2FACA4A-AAAC-40EC-A82D-1C1F2299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EF5"/>
    <w:pPr>
      <w:ind w:left="720"/>
      <w:contextualSpacing/>
    </w:pPr>
  </w:style>
  <w:style w:type="paragraph" w:styleId="a4">
    <w:name w:val="Balloon Text"/>
    <w:basedOn w:val="a"/>
    <w:link w:val="a5"/>
    <w:uiPriority w:val="99"/>
    <w:semiHidden/>
    <w:unhideWhenUsed/>
    <w:rsid w:val="00E800B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80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5311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Жарлицына Татьяна Леонидовна</dc:creator>
  <cp:keywords/>
  <dc:description/>
  <cp:lastModifiedBy>Жарлицына Татьяна Леонидовна</cp:lastModifiedBy>
  <cp:revision>2</cp:revision>
  <cp:lastPrinted>2018-03-02T12:35:00Z</cp:lastPrinted>
  <dcterms:created xsi:type="dcterms:W3CDTF">2018-03-02T13:21:00Z</dcterms:created>
  <dcterms:modified xsi:type="dcterms:W3CDTF">2018-03-02T13:21:00Z</dcterms:modified>
</cp:coreProperties>
</file>