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EF7068" w:rsidRDefault="001A1D41" w:rsidP="00EB4A81">
            <w:pPr>
              <w:widowControl w:val="0"/>
              <w:ind w:left="-142"/>
              <w:jc w:val="center"/>
              <w:rPr>
                <w:b/>
                <w:sz w:val="27"/>
                <w:szCs w:val="27"/>
                <w:lang w:val="en-US"/>
              </w:rPr>
            </w:pPr>
            <w:r w:rsidRPr="00EF7068">
              <w:rPr>
                <w:sz w:val="20"/>
                <w:szCs w:val="20"/>
                <w:lang w:val="en-US"/>
              </w:rPr>
              <w:t>2</w:t>
            </w:r>
            <w:r w:rsidR="00EB4A81" w:rsidRPr="00EB4A81">
              <w:rPr>
                <w:sz w:val="20"/>
                <w:szCs w:val="20"/>
                <w:lang w:val="en-US"/>
              </w:rPr>
              <w:t>8</w:t>
            </w:r>
            <w:r w:rsidR="004848D0" w:rsidRPr="00EF7068">
              <w:rPr>
                <w:sz w:val="20"/>
                <w:szCs w:val="20"/>
                <w:lang w:val="en-US"/>
              </w:rPr>
              <w:t>.02</w:t>
            </w:r>
            <w:r w:rsidR="00710640" w:rsidRPr="00EF7068">
              <w:rPr>
                <w:sz w:val="20"/>
                <w:szCs w:val="20"/>
                <w:lang w:val="en-US"/>
              </w:rPr>
              <w:t>.2022</w:t>
            </w:r>
            <w:r w:rsidR="005D1DA0" w:rsidRPr="00EF7068">
              <w:rPr>
                <w:sz w:val="20"/>
                <w:szCs w:val="20"/>
                <w:lang w:val="en-US"/>
              </w:rPr>
              <w:t xml:space="preserve"> </w:t>
            </w:r>
            <w:r w:rsidR="005D1DA0" w:rsidRPr="005D1DA0">
              <w:rPr>
                <w:sz w:val="20"/>
                <w:szCs w:val="20"/>
              </w:rPr>
              <w:t>г</w:t>
            </w:r>
            <w:r w:rsidR="005D1DA0" w:rsidRPr="00EF7068">
              <w:rPr>
                <w:sz w:val="20"/>
                <w:szCs w:val="20"/>
                <w:lang w:val="en-US"/>
              </w:rPr>
              <w:t xml:space="preserve">.  № </w:t>
            </w:r>
            <w:r w:rsidR="005D1DA0" w:rsidRPr="005D1DA0">
              <w:rPr>
                <w:sz w:val="20"/>
                <w:szCs w:val="20"/>
              </w:rPr>
              <w:t>б</w:t>
            </w:r>
            <w:r w:rsidR="005D1DA0" w:rsidRPr="00EF7068">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016D23"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384646" w:rsidP="00E9043D">
      <w:pPr>
        <w:ind w:firstLine="567"/>
        <w:jc w:val="both"/>
        <w:rPr>
          <w:sz w:val="28"/>
          <w:szCs w:val="28"/>
          <w:shd w:val="clear" w:color="auto" w:fill="FFFFFF"/>
        </w:rPr>
      </w:pPr>
      <w:r>
        <w:rPr>
          <w:sz w:val="28"/>
          <w:szCs w:val="28"/>
          <w:shd w:val="clear" w:color="auto" w:fill="FFFFFF"/>
        </w:rPr>
        <w:t>По состоянию на 15.00 28.02.2022 электроснабжение на территории Тверской области восстановлено</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6D23"/>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646"/>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7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17DCF-FE30-412D-AFFA-80F5EEED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1112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8</cp:revision>
  <cp:lastPrinted>2021-12-02T08:43:00Z</cp:lastPrinted>
  <dcterms:created xsi:type="dcterms:W3CDTF">2022-02-23T12:43:00Z</dcterms:created>
  <dcterms:modified xsi:type="dcterms:W3CDTF">2022-02-28T11:52:00Z</dcterms:modified>
</cp:coreProperties>
</file>