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B5" w:rsidRPr="0015067A" w:rsidRDefault="00C36041" w:rsidP="00B43BB5">
      <w:pPr>
        <w:jc w:val="center"/>
        <w:rPr>
          <w:b/>
          <w:sz w:val="32"/>
          <w:szCs w:val="32"/>
        </w:rPr>
      </w:pPr>
      <w:r w:rsidRPr="0015067A">
        <w:rPr>
          <w:b/>
          <w:sz w:val="32"/>
          <w:szCs w:val="32"/>
        </w:rPr>
        <w:t xml:space="preserve">Информационная справка </w:t>
      </w:r>
      <w:r w:rsidR="00AA55A7">
        <w:rPr>
          <w:b/>
          <w:sz w:val="32"/>
          <w:szCs w:val="32"/>
        </w:rPr>
        <w:t xml:space="preserve">Комитета по физической культуре и спорту Тверской области </w:t>
      </w:r>
      <w:r w:rsidRPr="0015067A">
        <w:rPr>
          <w:b/>
          <w:sz w:val="32"/>
          <w:szCs w:val="32"/>
        </w:rPr>
        <w:t xml:space="preserve">по строительству </w:t>
      </w:r>
      <w:r w:rsidR="00B43BB5" w:rsidRPr="0015067A">
        <w:rPr>
          <w:b/>
          <w:sz w:val="32"/>
          <w:szCs w:val="32"/>
        </w:rPr>
        <w:t xml:space="preserve">объекта </w:t>
      </w:r>
    </w:p>
    <w:p w:rsidR="00C36041" w:rsidRPr="0015067A" w:rsidRDefault="00B43BB5" w:rsidP="00C36041">
      <w:pPr>
        <w:ind w:firstLine="709"/>
        <w:jc w:val="center"/>
        <w:rPr>
          <w:b/>
          <w:sz w:val="32"/>
          <w:szCs w:val="32"/>
        </w:rPr>
      </w:pPr>
      <w:r w:rsidRPr="0015067A">
        <w:rPr>
          <w:b/>
          <w:sz w:val="32"/>
          <w:szCs w:val="32"/>
        </w:rPr>
        <w:t>«К</w:t>
      </w:r>
      <w:r w:rsidR="00C36041" w:rsidRPr="0015067A">
        <w:rPr>
          <w:b/>
          <w:sz w:val="32"/>
          <w:szCs w:val="32"/>
        </w:rPr>
        <w:t>рыт</w:t>
      </w:r>
      <w:r w:rsidRPr="0015067A">
        <w:rPr>
          <w:b/>
          <w:sz w:val="32"/>
          <w:szCs w:val="32"/>
        </w:rPr>
        <w:t>ый</w:t>
      </w:r>
      <w:r w:rsidR="00C36041" w:rsidRPr="0015067A">
        <w:rPr>
          <w:b/>
          <w:sz w:val="32"/>
          <w:szCs w:val="32"/>
        </w:rPr>
        <w:t xml:space="preserve"> футбольн</w:t>
      </w:r>
      <w:r w:rsidRPr="0015067A">
        <w:rPr>
          <w:b/>
          <w:sz w:val="32"/>
          <w:szCs w:val="32"/>
        </w:rPr>
        <w:t>ый</w:t>
      </w:r>
      <w:r w:rsidR="00C36041" w:rsidRPr="0015067A">
        <w:rPr>
          <w:b/>
          <w:sz w:val="32"/>
          <w:szCs w:val="32"/>
        </w:rPr>
        <w:t xml:space="preserve"> манеж в г. Твери</w:t>
      </w:r>
      <w:r w:rsidRPr="0015067A">
        <w:rPr>
          <w:b/>
          <w:sz w:val="32"/>
          <w:szCs w:val="32"/>
        </w:rPr>
        <w:t>»</w:t>
      </w:r>
    </w:p>
    <w:p w:rsidR="00C36041" w:rsidRPr="0015067A" w:rsidRDefault="00C36041" w:rsidP="00C36041">
      <w:pPr>
        <w:ind w:firstLine="709"/>
        <w:jc w:val="center"/>
        <w:rPr>
          <w:sz w:val="32"/>
          <w:szCs w:val="32"/>
        </w:rPr>
      </w:pPr>
    </w:p>
    <w:p w:rsidR="00BE33F9" w:rsidRPr="0015067A" w:rsidRDefault="001F3B13" w:rsidP="00E16544">
      <w:pPr>
        <w:ind w:firstLine="709"/>
        <w:jc w:val="both"/>
        <w:rPr>
          <w:sz w:val="32"/>
          <w:szCs w:val="32"/>
        </w:rPr>
      </w:pPr>
      <w:r w:rsidRPr="0015067A">
        <w:rPr>
          <w:bCs/>
          <w:sz w:val="32"/>
          <w:szCs w:val="32"/>
        </w:rPr>
        <w:t xml:space="preserve">Строительство </w:t>
      </w:r>
      <w:r w:rsidRPr="0015067A">
        <w:rPr>
          <w:sz w:val="32"/>
          <w:szCs w:val="32"/>
        </w:rPr>
        <w:t xml:space="preserve">объекта «Крытый футбольный манеж в г. Твери» (далее – Объект, Футбольный манеж) </w:t>
      </w:r>
      <w:r w:rsidR="0088493E" w:rsidRPr="0015067A">
        <w:rPr>
          <w:bCs/>
          <w:sz w:val="32"/>
          <w:szCs w:val="32"/>
        </w:rPr>
        <w:t>осуществляется</w:t>
      </w:r>
      <w:r w:rsidRPr="0015067A">
        <w:rPr>
          <w:sz w:val="32"/>
          <w:szCs w:val="32"/>
        </w:rPr>
        <w:t xml:space="preserve"> в</w:t>
      </w:r>
      <w:r w:rsidR="00C36041" w:rsidRPr="0015067A">
        <w:rPr>
          <w:sz w:val="32"/>
          <w:szCs w:val="32"/>
        </w:rPr>
        <w:t xml:space="preserve"> рамках федерального проекта «Спорт</w:t>
      </w:r>
      <w:r w:rsidR="00AD0163" w:rsidRPr="0015067A">
        <w:rPr>
          <w:sz w:val="32"/>
          <w:szCs w:val="32"/>
        </w:rPr>
        <w:t xml:space="preserve"> </w:t>
      </w:r>
      <w:r w:rsidR="00AD0163" w:rsidRPr="0015067A">
        <w:rPr>
          <w:color w:val="000000"/>
          <w:sz w:val="32"/>
          <w:szCs w:val="32"/>
        </w:rPr>
        <w:t>–</w:t>
      </w:r>
      <w:r w:rsidR="00AD0163" w:rsidRPr="0015067A">
        <w:rPr>
          <w:sz w:val="32"/>
          <w:szCs w:val="32"/>
        </w:rPr>
        <w:t xml:space="preserve"> </w:t>
      </w:r>
      <w:r w:rsidR="00C36041" w:rsidRPr="0015067A">
        <w:rPr>
          <w:sz w:val="32"/>
          <w:szCs w:val="32"/>
        </w:rPr>
        <w:t>норма жизни»</w:t>
      </w:r>
      <w:r w:rsidR="00BE33F9" w:rsidRPr="0015067A">
        <w:rPr>
          <w:sz w:val="32"/>
          <w:szCs w:val="32"/>
        </w:rPr>
        <w:t xml:space="preserve"> в соответствии с Соглашением между </w:t>
      </w:r>
      <w:proofErr w:type="spellStart"/>
      <w:r w:rsidR="00BE33F9" w:rsidRPr="0015067A">
        <w:rPr>
          <w:sz w:val="32"/>
          <w:szCs w:val="32"/>
        </w:rPr>
        <w:t>Минспорта</w:t>
      </w:r>
      <w:proofErr w:type="spellEnd"/>
      <w:r w:rsidR="00BE33F9" w:rsidRPr="0015067A">
        <w:rPr>
          <w:sz w:val="32"/>
          <w:szCs w:val="32"/>
        </w:rPr>
        <w:t xml:space="preserve"> России и Правительством Тверской области от 23.12.2019 № 777-09-2020-084</w:t>
      </w:r>
      <w:r w:rsidR="00882910" w:rsidRPr="0015067A">
        <w:rPr>
          <w:sz w:val="32"/>
          <w:szCs w:val="32"/>
        </w:rPr>
        <w:t xml:space="preserve"> (далее – Соглашение)</w:t>
      </w:r>
      <w:r w:rsidR="00BE33F9" w:rsidRPr="0015067A">
        <w:rPr>
          <w:sz w:val="32"/>
          <w:szCs w:val="32"/>
        </w:rPr>
        <w:t>.</w:t>
      </w:r>
    </w:p>
    <w:p w:rsidR="006205B1" w:rsidRPr="0015067A" w:rsidRDefault="00E16544" w:rsidP="00E16544">
      <w:pPr>
        <w:ind w:firstLine="709"/>
        <w:jc w:val="both"/>
        <w:rPr>
          <w:sz w:val="32"/>
          <w:szCs w:val="32"/>
        </w:rPr>
      </w:pPr>
      <w:r w:rsidRPr="0015067A">
        <w:rPr>
          <w:sz w:val="32"/>
          <w:szCs w:val="32"/>
        </w:rPr>
        <w:t xml:space="preserve">Футбольный манеж планируется использовать для тренировочных занятий ГБУ Тверской области «Спортивная школа олимпийского резерва по футболу», для соревнований регионального уровня, а также для физкультурно-оздоровительных занятий населения города Твери. </w:t>
      </w:r>
    </w:p>
    <w:p w:rsidR="006205B1" w:rsidRPr="0015067A" w:rsidRDefault="006205B1" w:rsidP="001F3B13">
      <w:pPr>
        <w:pStyle w:val="ConsPlusNonformat"/>
        <w:widowControl/>
        <w:tabs>
          <w:tab w:val="left" w:pos="1120"/>
        </w:tabs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5067A">
        <w:rPr>
          <w:rFonts w:ascii="Times New Roman" w:hAnsi="Times New Roman" w:cs="Times New Roman"/>
          <w:sz w:val="32"/>
          <w:szCs w:val="32"/>
        </w:rPr>
        <w:t xml:space="preserve">Строительство Объекта </w:t>
      </w:r>
      <w:r w:rsidR="0088493E" w:rsidRPr="0015067A">
        <w:rPr>
          <w:rFonts w:ascii="Times New Roman" w:hAnsi="Times New Roman" w:cs="Times New Roman"/>
          <w:sz w:val="32"/>
          <w:szCs w:val="32"/>
        </w:rPr>
        <w:t>запланировано</w:t>
      </w:r>
      <w:r w:rsidRPr="0015067A">
        <w:rPr>
          <w:rFonts w:ascii="Times New Roman" w:hAnsi="Times New Roman" w:cs="Times New Roman"/>
          <w:sz w:val="32"/>
          <w:szCs w:val="32"/>
        </w:rPr>
        <w:t xml:space="preserve"> на участк</w:t>
      </w:r>
      <w:r w:rsidR="001F3B13" w:rsidRPr="0015067A">
        <w:rPr>
          <w:rFonts w:ascii="Times New Roman" w:hAnsi="Times New Roman" w:cs="Times New Roman"/>
          <w:sz w:val="32"/>
          <w:szCs w:val="32"/>
        </w:rPr>
        <w:t>ах</w:t>
      </w:r>
      <w:r w:rsidRPr="0015067A">
        <w:rPr>
          <w:rFonts w:ascii="Times New Roman" w:hAnsi="Times New Roman" w:cs="Times New Roman"/>
          <w:sz w:val="32"/>
          <w:szCs w:val="32"/>
        </w:rPr>
        <w:t>, расположенн</w:t>
      </w:r>
      <w:r w:rsidR="001F3B13" w:rsidRPr="0015067A">
        <w:rPr>
          <w:rFonts w:ascii="Times New Roman" w:hAnsi="Times New Roman" w:cs="Times New Roman"/>
          <w:sz w:val="32"/>
          <w:szCs w:val="32"/>
        </w:rPr>
        <w:t>ых</w:t>
      </w:r>
      <w:r w:rsidRPr="0015067A">
        <w:rPr>
          <w:rFonts w:ascii="Times New Roman" w:hAnsi="Times New Roman" w:cs="Times New Roman"/>
          <w:sz w:val="32"/>
          <w:szCs w:val="32"/>
        </w:rPr>
        <w:t xml:space="preserve"> в Заволжском районе г. Твери, в микрорайоне «</w:t>
      </w:r>
      <w:proofErr w:type="spellStart"/>
      <w:r w:rsidRPr="0015067A">
        <w:rPr>
          <w:rFonts w:ascii="Times New Roman" w:hAnsi="Times New Roman" w:cs="Times New Roman"/>
          <w:sz w:val="32"/>
          <w:szCs w:val="32"/>
        </w:rPr>
        <w:t>Соминка</w:t>
      </w:r>
      <w:proofErr w:type="spellEnd"/>
      <w:r w:rsidR="00E007B8">
        <w:rPr>
          <w:rFonts w:ascii="Times New Roman" w:hAnsi="Times New Roman" w:cs="Times New Roman"/>
          <w:sz w:val="32"/>
          <w:szCs w:val="32"/>
        </w:rPr>
        <w:t>»</w:t>
      </w:r>
      <w:r w:rsidR="00AA55A7">
        <w:rPr>
          <w:rFonts w:ascii="Times New Roman" w:hAnsi="Times New Roman" w:cs="Times New Roman"/>
          <w:sz w:val="32"/>
          <w:szCs w:val="32"/>
        </w:rPr>
        <w:t xml:space="preserve"> по</w:t>
      </w:r>
      <w:r w:rsidR="001F3B13" w:rsidRPr="0015067A">
        <w:rPr>
          <w:rFonts w:ascii="Times New Roman" w:hAnsi="Times New Roman" w:cs="Times New Roman"/>
          <w:sz w:val="32"/>
          <w:szCs w:val="32"/>
        </w:rPr>
        <w:t xml:space="preserve"> </w:t>
      </w:r>
      <w:r w:rsidR="00AA55A7" w:rsidRPr="0015067A">
        <w:rPr>
          <w:rFonts w:ascii="Times New Roman" w:hAnsi="Times New Roman" w:cs="Times New Roman"/>
          <w:sz w:val="32"/>
          <w:szCs w:val="32"/>
        </w:rPr>
        <w:t xml:space="preserve">ул. Красина 2-ая </w:t>
      </w:r>
      <w:r w:rsidR="001F3B13" w:rsidRPr="0015067A">
        <w:rPr>
          <w:rFonts w:ascii="Times New Roman" w:hAnsi="Times New Roman" w:cs="Times New Roman"/>
          <w:sz w:val="32"/>
          <w:szCs w:val="32"/>
        </w:rPr>
        <w:t>площадью</w:t>
      </w:r>
      <w:r w:rsidR="001F3B13" w:rsidRPr="0015067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1F3B13" w:rsidRPr="0015067A">
        <w:rPr>
          <w:rFonts w:ascii="Times New Roman" w:hAnsi="Times New Roman" w:cs="Times New Roman"/>
          <w:sz w:val="32"/>
          <w:szCs w:val="32"/>
        </w:rPr>
        <w:t>25</w:t>
      </w:r>
      <w:r w:rsidR="00AA55A7">
        <w:rPr>
          <w:rFonts w:ascii="Times New Roman" w:hAnsi="Times New Roman" w:cs="Times New Roman"/>
          <w:sz w:val="32"/>
          <w:szCs w:val="32"/>
        </w:rPr>
        <w:t xml:space="preserve"> 762 кв. м </w:t>
      </w:r>
      <w:r w:rsidR="001F3B13" w:rsidRPr="0015067A">
        <w:rPr>
          <w:rFonts w:ascii="Times New Roman" w:hAnsi="Times New Roman" w:cs="Times New Roman"/>
          <w:sz w:val="32"/>
          <w:szCs w:val="32"/>
        </w:rPr>
        <w:t>и</w:t>
      </w:r>
      <w:r w:rsidR="00E007B8">
        <w:rPr>
          <w:rFonts w:ascii="Times New Roman" w:hAnsi="Times New Roman" w:cs="Times New Roman"/>
          <w:sz w:val="32"/>
          <w:szCs w:val="32"/>
        </w:rPr>
        <w:t xml:space="preserve"> по</w:t>
      </w:r>
      <w:r w:rsidR="001F3B13" w:rsidRPr="0015067A">
        <w:rPr>
          <w:rFonts w:ascii="Times New Roman" w:hAnsi="Times New Roman" w:cs="Times New Roman"/>
          <w:sz w:val="32"/>
          <w:szCs w:val="32"/>
        </w:rPr>
        <w:t xml:space="preserve"> </w:t>
      </w:r>
      <w:r w:rsidR="00E007B8" w:rsidRPr="0015067A">
        <w:rPr>
          <w:rFonts w:ascii="Times New Roman" w:hAnsi="Times New Roman" w:cs="Times New Roman"/>
          <w:sz w:val="32"/>
          <w:szCs w:val="32"/>
        </w:rPr>
        <w:t xml:space="preserve">ул. 2-ая Грибоедова </w:t>
      </w:r>
      <w:r w:rsidR="001F3B13" w:rsidRPr="0015067A">
        <w:rPr>
          <w:rFonts w:ascii="Times New Roman" w:hAnsi="Times New Roman" w:cs="Times New Roman"/>
          <w:sz w:val="32"/>
          <w:szCs w:val="32"/>
        </w:rPr>
        <w:t xml:space="preserve">площадью 23 507,0 кв. м. </w:t>
      </w:r>
      <w:r w:rsidR="00EA70AA" w:rsidRPr="0015067A">
        <w:rPr>
          <w:rFonts w:ascii="Times New Roman" w:hAnsi="Times New Roman" w:cs="Times New Roman"/>
          <w:sz w:val="32"/>
          <w:szCs w:val="32"/>
        </w:rPr>
        <w:t>Участ</w:t>
      </w:r>
      <w:r w:rsidR="001F3B13" w:rsidRPr="0015067A">
        <w:rPr>
          <w:rFonts w:ascii="Times New Roman" w:hAnsi="Times New Roman" w:cs="Times New Roman"/>
          <w:sz w:val="32"/>
          <w:szCs w:val="32"/>
        </w:rPr>
        <w:t>ки</w:t>
      </w:r>
      <w:r w:rsidR="00EA70AA" w:rsidRPr="0015067A">
        <w:rPr>
          <w:rFonts w:ascii="Times New Roman" w:hAnsi="Times New Roman" w:cs="Times New Roman"/>
          <w:sz w:val="32"/>
          <w:szCs w:val="32"/>
        </w:rPr>
        <w:t xml:space="preserve"> наход</w:t>
      </w:r>
      <w:r w:rsidR="001F3B13" w:rsidRPr="0015067A">
        <w:rPr>
          <w:rFonts w:ascii="Times New Roman" w:hAnsi="Times New Roman" w:cs="Times New Roman"/>
          <w:sz w:val="32"/>
          <w:szCs w:val="32"/>
        </w:rPr>
        <w:t>я</w:t>
      </w:r>
      <w:r w:rsidR="00EA70AA" w:rsidRPr="0015067A">
        <w:rPr>
          <w:rFonts w:ascii="Times New Roman" w:hAnsi="Times New Roman" w:cs="Times New Roman"/>
          <w:sz w:val="32"/>
          <w:szCs w:val="32"/>
        </w:rPr>
        <w:t xml:space="preserve">тся </w:t>
      </w:r>
      <w:r w:rsidRPr="0015067A">
        <w:rPr>
          <w:rFonts w:ascii="Times New Roman" w:hAnsi="Times New Roman" w:cs="Times New Roman"/>
          <w:sz w:val="32"/>
          <w:szCs w:val="32"/>
        </w:rPr>
        <w:t>в безвозмездно</w:t>
      </w:r>
      <w:r w:rsidR="00EA70AA" w:rsidRPr="0015067A">
        <w:rPr>
          <w:rFonts w:ascii="Times New Roman" w:hAnsi="Times New Roman" w:cs="Times New Roman"/>
          <w:sz w:val="32"/>
          <w:szCs w:val="32"/>
        </w:rPr>
        <w:t>м пользовании</w:t>
      </w:r>
      <w:r w:rsidRPr="0015067A">
        <w:rPr>
          <w:rFonts w:ascii="Times New Roman" w:hAnsi="Times New Roman" w:cs="Times New Roman"/>
          <w:sz w:val="32"/>
          <w:szCs w:val="32"/>
        </w:rPr>
        <w:t xml:space="preserve"> ГБУ Тверской области «СШОР по футболу».</w:t>
      </w:r>
    </w:p>
    <w:p w:rsidR="001F3B13" w:rsidRPr="0015067A" w:rsidRDefault="001F3B13" w:rsidP="001F3B13">
      <w:pPr>
        <w:pStyle w:val="ConsPlusNonformat"/>
        <w:widowControl/>
        <w:tabs>
          <w:tab w:val="left" w:pos="1120"/>
        </w:tabs>
        <w:adjustRightInd w:val="0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5067A">
        <w:rPr>
          <w:rFonts w:ascii="Times New Roman" w:hAnsi="Times New Roman" w:cs="Times New Roman"/>
          <w:sz w:val="32"/>
          <w:szCs w:val="32"/>
        </w:rPr>
        <w:t xml:space="preserve">В 2020 году Комитетом по физической культуре и спорту Тверской области </w:t>
      </w:r>
      <w:r w:rsidR="00DB43A7" w:rsidRPr="0015067A">
        <w:rPr>
          <w:rFonts w:ascii="Times New Roman" w:hAnsi="Times New Roman" w:cs="Times New Roman"/>
          <w:sz w:val="32"/>
          <w:szCs w:val="32"/>
        </w:rPr>
        <w:t xml:space="preserve">(далее – Комитет) </w:t>
      </w:r>
      <w:r w:rsidRPr="0015067A">
        <w:rPr>
          <w:rFonts w:ascii="Times New Roman" w:hAnsi="Times New Roman" w:cs="Times New Roman"/>
          <w:sz w:val="32"/>
          <w:szCs w:val="32"/>
        </w:rPr>
        <w:t>разработано</w:t>
      </w:r>
      <w:r w:rsidR="00CD21C5" w:rsidRPr="0015067A">
        <w:rPr>
          <w:rFonts w:ascii="Times New Roman" w:hAnsi="Times New Roman" w:cs="Times New Roman"/>
          <w:sz w:val="32"/>
          <w:szCs w:val="32"/>
        </w:rPr>
        <w:t xml:space="preserve"> и</w:t>
      </w:r>
      <w:r w:rsidRPr="0015067A">
        <w:rPr>
          <w:rFonts w:ascii="Times New Roman" w:hAnsi="Times New Roman" w:cs="Times New Roman"/>
          <w:sz w:val="32"/>
          <w:szCs w:val="32"/>
        </w:rPr>
        <w:t xml:space="preserve"> </w:t>
      </w:r>
      <w:r w:rsidR="00CD21C5" w:rsidRPr="0015067A">
        <w:rPr>
          <w:rFonts w:ascii="Times New Roman" w:hAnsi="Times New Roman" w:cs="Times New Roman"/>
          <w:sz w:val="32"/>
          <w:szCs w:val="32"/>
        </w:rPr>
        <w:t xml:space="preserve">Минстроем Тверской области утверждено </w:t>
      </w:r>
      <w:r w:rsidRPr="0015067A">
        <w:rPr>
          <w:rFonts w:ascii="Times New Roman" w:hAnsi="Times New Roman" w:cs="Times New Roman"/>
          <w:sz w:val="32"/>
          <w:szCs w:val="32"/>
        </w:rPr>
        <w:t>отраслевое техническое задание на проектирование</w:t>
      </w:r>
      <w:r w:rsidR="00DB43A7" w:rsidRPr="0015067A">
        <w:rPr>
          <w:rFonts w:ascii="Times New Roman" w:hAnsi="Times New Roman" w:cs="Times New Roman"/>
          <w:sz w:val="32"/>
          <w:szCs w:val="32"/>
        </w:rPr>
        <w:t xml:space="preserve"> Объекта</w:t>
      </w:r>
      <w:r w:rsidR="00CD21C5" w:rsidRPr="0015067A">
        <w:rPr>
          <w:rFonts w:ascii="Times New Roman" w:hAnsi="Times New Roman" w:cs="Times New Roman"/>
          <w:sz w:val="32"/>
          <w:szCs w:val="32"/>
        </w:rPr>
        <w:t>.</w:t>
      </w:r>
    </w:p>
    <w:p w:rsidR="00EA70AA" w:rsidRPr="0015067A" w:rsidRDefault="00E16544" w:rsidP="00AE3B84">
      <w:pPr>
        <w:ind w:firstLine="709"/>
        <w:jc w:val="both"/>
        <w:rPr>
          <w:sz w:val="32"/>
          <w:szCs w:val="32"/>
        </w:rPr>
      </w:pPr>
      <w:r w:rsidRPr="0015067A">
        <w:rPr>
          <w:rFonts w:cstheme="minorBidi"/>
          <w:bCs/>
          <w:sz w:val="32"/>
          <w:szCs w:val="32"/>
        </w:rPr>
        <w:t>В</w:t>
      </w:r>
      <w:r w:rsidR="00AE3B84" w:rsidRPr="0015067A">
        <w:rPr>
          <w:rFonts w:cstheme="minorBidi"/>
          <w:bCs/>
          <w:sz w:val="32"/>
          <w:szCs w:val="32"/>
        </w:rPr>
        <w:t xml:space="preserve"> соответствии с данным техническим заданием в</w:t>
      </w:r>
      <w:r w:rsidRPr="0015067A">
        <w:rPr>
          <w:rFonts w:cstheme="minorBidi"/>
          <w:bCs/>
          <w:sz w:val="32"/>
          <w:szCs w:val="32"/>
        </w:rPr>
        <w:t xml:space="preserve"> здании </w:t>
      </w:r>
      <w:r w:rsidR="00AD0163" w:rsidRPr="0015067A">
        <w:rPr>
          <w:rFonts w:cstheme="minorBidi"/>
          <w:bCs/>
          <w:sz w:val="32"/>
          <w:szCs w:val="32"/>
        </w:rPr>
        <w:t>Ф</w:t>
      </w:r>
      <w:r w:rsidR="005B6EA3" w:rsidRPr="0015067A">
        <w:rPr>
          <w:rFonts w:cstheme="minorBidi"/>
          <w:bCs/>
          <w:sz w:val="32"/>
          <w:szCs w:val="32"/>
        </w:rPr>
        <w:t xml:space="preserve">утбольного </w:t>
      </w:r>
      <w:r w:rsidRPr="0015067A">
        <w:rPr>
          <w:rFonts w:cstheme="minorBidi"/>
          <w:bCs/>
          <w:sz w:val="32"/>
          <w:szCs w:val="32"/>
        </w:rPr>
        <w:t xml:space="preserve">манежа </w:t>
      </w:r>
      <w:r w:rsidR="000D6CF2" w:rsidRPr="0015067A">
        <w:rPr>
          <w:rFonts w:cstheme="minorBidi"/>
          <w:bCs/>
          <w:sz w:val="32"/>
          <w:szCs w:val="32"/>
        </w:rPr>
        <w:t>запланированы</w:t>
      </w:r>
      <w:r w:rsidRPr="0015067A">
        <w:rPr>
          <w:rFonts w:cstheme="minorBidi"/>
          <w:bCs/>
          <w:sz w:val="32"/>
          <w:szCs w:val="32"/>
        </w:rPr>
        <w:t xml:space="preserve"> зал с футбольным полем из искусственной травы размером </w:t>
      </w:r>
      <w:r w:rsidR="000D6CF2" w:rsidRPr="0015067A">
        <w:rPr>
          <w:color w:val="000000"/>
          <w:sz w:val="32"/>
          <w:szCs w:val="32"/>
        </w:rPr>
        <w:t>105х68 м, а т</w:t>
      </w:r>
      <w:r w:rsidR="00AE3B84" w:rsidRPr="0015067A">
        <w:rPr>
          <w:color w:val="000000"/>
          <w:sz w:val="32"/>
          <w:szCs w:val="32"/>
        </w:rPr>
        <w:t xml:space="preserve">акже </w:t>
      </w:r>
      <w:r w:rsidR="00EA70AA" w:rsidRPr="0015067A">
        <w:rPr>
          <w:sz w:val="32"/>
          <w:szCs w:val="32"/>
        </w:rPr>
        <w:t>все необходимые вспомогательные помещения, обеспечивающие необходимый комфорт занимающимся и обслуживающему персоналу (</w:t>
      </w:r>
      <w:r w:rsidR="00EA70AA" w:rsidRPr="0015067A">
        <w:rPr>
          <w:color w:val="000000"/>
          <w:sz w:val="32"/>
          <w:szCs w:val="32"/>
        </w:rPr>
        <w:t>гардероб для верхней одежды занимающихся,</w:t>
      </w:r>
      <w:r w:rsidR="00EA70AA" w:rsidRPr="0015067A">
        <w:rPr>
          <w:sz w:val="32"/>
          <w:szCs w:val="32"/>
        </w:rPr>
        <w:t xml:space="preserve"> раздевалки с душевыми и санузлами, инвентарная, кабинет врача, кабинет для тренерского состава,</w:t>
      </w:r>
      <w:r w:rsidR="00EA70AA" w:rsidRPr="0015067A">
        <w:rPr>
          <w:color w:val="000000"/>
          <w:sz w:val="32"/>
          <w:szCs w:val="32"/>
        </w:rPr>
        <w:t xml:space="preserve"> санузлы с умывальниками для посетителей, методический кабинет</w:t>
      </w:r>
      <w:r w:rsidR="00EA70AA" w:rsidRPr="0015067A">
        <w:rPr>
          <w:sz w:val="32"/>
          <w:szCs w:val="32"/>
        </w:rPr>
        <w:t xml:space="preserve">), а также </w:t>
      </w:r>
      <w:r w:rsidR="00EA70AA" w:rsidRPr="0015067A">
        <w:rPr>
          <w:color w:val="000000"/>
          <w:sz w:val="32"/>
          <w:szCs w:val="32"/>
        </w:rPr>
        <w:t>административные помещения и помещение охраны.</w:t>
      </w:r>
    </w:p>
    <w:p w:rsidR="000172DE" w:rsidRPr="0015067A" w:rsidRDefault="00CB452A" w:rsidP="00CB452A">
      <w:pPr>
        <w:ind w:firstLine="709"/>
        <w:jc w:val="both"/>
        <w:rPr>
          <w:sz w:val="32"/>
          <w:szCs w:val="32"/>
        </w:rPr>
      </w:pPr>
      <w:r w:rsidRPr="0015067A">
        <w:rPr>
          <w:sz w:val="32"/>
          <w:szCs w:val="32"/>
        </w:rPr>
        <w:t>В целях ускорения разработки проектной документации по Объекту в качестве проекта-аналога выбра</w:t>
      </w:r>
      <w:r w:rsidR="000D6CF2" w:rsidRPr="0015067A">
        <w:rPr>
          <w:sz w:val="32"/>
          <w:szCs w:val="32"/>
        </w:rPr>
        <w:t>н</w:t>
      </w:r>
      <w:r w:rsidRPr="0015067A">
        <w:rPr>
          <w:sz w:val="32"/>
          <w:szCs w:val="32"/>
        </w:rPr>
        <w:t xml:space="preserve"> проект «Строительство крытого футбольного манежа» (г. Нижний Новгород), проектная документация по которому включена в реестр экономически эффективной проектной документации Минстроя России. Основные </w:t>
      </w:r>
      <w:r w:rsidRPr="0015067A">
        <w:rPr>
          <w:sz w:val="32"/>
          <w:szCs w:val="32"/>
        </w:rPr>
        <w:lastRenderedPageBreak/>
        <w:t xml:space="preserve">технико-экономические показатели данного проекта соответствуют требованиям, прописанным в отраслевом техническом задании на проектирование Объекта. </w:t>
      </w:r>
    </w:p>
    <w:p w:rsidR="0059434C" w:rsidRPr="0015067A" w:rsidRDefault="0059434C" w:rsidP="0059434C">
      <w:pPr>
        <w:ind w:firstLine="709"/>
        <w:jc w:val="both"/>
        <w:rPr>
          <w:sz w:val="32"/>
          <w:szCs w:val="32"/>
        </w:rPr>
      </w:pPr>
      <w:r w:rsidRPr="0015067A">
        <w:rPr>
          <w:sz w:val="32"/>
          <w:szCs w:val="32"/>
        </w:rPr>
        <w:t xml:space="preserve">В </w:t>
      </w:r>
      <w:r w:rsidR="000172DE" w:rsidRPr="0015067A">
        <w:rPr>
          <w:sz w:val="32"/>
          <w:szCs w:val="32"/>
        </w:rPr>
        <w:t xml:space="preserve">2021 </w:t>
      </w:r>
      <w:r w:rsidRPr="0015067A">
        <w:rPr>
          <w:sz w:val="32"/>
          <w:szCs w:val="32"/>
        </w:rPr>
        <w:t xml:space="preserve">году </w:t>
      </w:r>
      <w:r w:rsidR="00CB452A" w:rsidRPr="0015067A">
        <w:rPr>
          <w:sz w:val="32"/>
          <w:szCs w:val="32"/>
        </w:rPr>
        <w:t xml:space="preserve">по итогам проведения конкурентных процедур </w:t>
      </w:r>
      <w:r w:rsidRPr="0015067A">
        <w:rPr>
          <w:sz w:val="32"/>
          <w:szCs w:val="32"/>
        </w:rPr>
        <w:t xml:space="preserve">заключен </w:t>
      </w:r>
      <w:r w:rsidR="00CB452A" w:rsidRPr="0015067A">
        <w:rPr>
          <w:sz w:val="32"/>
          <w:szCs w:val="32"/>
        </w:rPr>
        <w:t xml:space="preserve">государственный </w:t>
      </w:r>
      <w:r w:rsidRPr="0015067A">
        <w:rPr>
          <w:sz w:val="32"/>
          <w:szCs w:val="32"/>
        </w:rPr>
        <w:t>контракт</w:t>
      </w:r>
      <w:r w:rsidR="00CB452A" w:rsidRPr="0015067A">
        <w:rPr>
          <w:sz w:val="32"/>
          <w:szCs w:val="32"/>
        </w:rPr>
        <w:t xml:space="preserve"> (№ 47 от 20.07.2021)</w:t>
      </w:r>
      <w:r w:rsidRPr="0015067A">
        <w:rPr>
          <w:sz w:val="32"/>
          <w:szCs w:val="32"/>
        </w:rPr>
        <w:t>, предметом которого является одновременно подготовка проектной документации и выполнение работ по строительству Объекта с условием выплаты генподрядчику аванса.</w:t>
      </w:r>
      <w:r w:rsidR="00CB452A" w:rsidRPr="0015067A">
        <w:rPr>
          <w:sz w:val="32"/>
          <w:szCs w:val="32"/>
        </w:rPr>
        <w:t xml:space="preserve"> Генеральный подрядчик </w:t>
      </w:r>
      <w:r w:rsidR="000172DE" w:rsidRPr="0015067A">
        <w:rPr>
          <w:sz w:val="32"/>
          <w:szCs w:val="32"/>
        </w:rPr>
        <w:t xml:space="preserve">- </w:t>
      </w:r>
      <w:r w:rsidR="00CB452A" w:rsidRPr="0015067A">
        <w:rPr>
          <w:sz w:val="32"/>
          <w:szCs w:val="32"/>
        </w:rPr>
        <w:t xml:space="preserve">публично-правовая компания «Военно-строительная компания». Генподрядчику </w:t>
      </w:r>
      <w:r w:rsidR="00AD0163" w:rsidRPr="0015067A">
        <w:rPr>
          <w:sz w:val="32"/>
          <w:szCs w:val="32"/>
        </w:rPr>
        <w:t>предоставлен</w:t>
      </w:r>
      <w:r w:rsidR="00CB452A" w:rsidRPr="0015067A">
        <w:rPr>
          <w:sz w:val="32"/>
          <w:szCs w:val="32"/>
        </w:rPr>
        <w:t xml:space="preserve"> аванс в объеме 123 475,9 тыс. руб.</w:t>
      </w:r>
    </w:p>
    <w:p w:rsidR="000172DE" w:rsidRPr="0015067A" w:rsidRDefault="000172DE" w:rsidP="000172DE">
      <w:pPr>
        <w:ind w:firstLine="709"/>
        <w:jc w:val="both"/>
        <w:rPr>
          <w:sz w:val="32"/>
          <w:szCs w:val="32"/>
        </w:rPr>
      </w:pPr>
      <w:r w:rsidRPr="0015067A">
        <w:rPr>
          <w:sz w:val="32"/>
          <w:szCs w:val="32"/>
        </w:rPr>
        <w:t xml:space="preserve">В соответствии с условиями заключенного государственного контракта проектная документация с положительным заключением государственной экспертизы должна быть выполнена в срок до 10.10.2021. Однако сроки исполнения контракта нарушены. </w:t>
      </w:r>
    </w:p>
    <w:p w:rsidR="00882910" w:rsidRPr="0015067A" w:rsidRDefault="000172DE" w:rsidP="001C1C4A">
      <w:pPr>
        <w:shd w:val="clear" w:color="auto" w:fill="FFFFFF"/>
        <w:tabs>
          <w:tab w:val="left" w:pos="1134"/>
        </w:tabs>
        <w:ind w:firstLine="709"/>
        <w:jc w:val="both"/>
        <w:rPr>
          <w:sz w:val="32"/>
          <w:szCs w:val="32"/>
        </w:rPr>
      </w:pPr>
      <w:r w:rsidRPr="0015067A">
        <w:rPr>
          <w:sz w:val="32"/>
          <w:szCs w:val="32"/>
        </w:rPr>
        <w:t xml:space="preserve">В связи с нарушением исполнителем сроков разработки проектной документации </w:t>
      </w:r>
      <w:r w:rsidR="00113912" w:rsidRPr="0015067A">
        <w:rPr>
          <w:sz w:val="32"/>
          <w:szCs w:val="32"/>
        </w:rPr>
        <w:t xml:space="preserve">Комитет не представил установленный пакет документов в </w:t>
      </w:r>
      <w:proofErr w:type="spellStart"/>
      <w:r w:rsidR="00113912" w:rsidRPr="0015067A">
        <w:rPr>
          <w:sz w:val="32"/>
          <w:szCs w:val="32"/>
        </w:rPr>
        <w:t>Минспорт</w:t>
      </w:r>
      <w:proofErr w:type="spellEnd"/>
      <w:r w:rsidR="00113912" w:rsidRPr="0015067A">
        <w:rPr>
          <w:sz w:val="32"/>
          <w:szCs w:val="32"/>
        </w:rPr>
        <w:t xml:space="preserve"> России и, кроме того, </w:t>
      </w:r>
      <w:r w:rsidRPr="0015067A">
        <w:rPr>
          <w:sz w:val="32"/>
          <w:szCs w:val="32"/>
        </w:rPr>
        <w:t xml:space="preserve">Тверской областью </w:t>
      </w:r>
      <w:r w:rsidR="00113912" w:rsidRPr="0015067A">
        <w:rPr>
          <w:sz w:val="32"/>
          <w:szCs w:val="32"/>
        </w:rPr>
        <w:t xml:space="preserve">нарушены условия Соглашения: </w:t>
      </w:r>
      <w:r w:rsidRPr="0015067A">
        <w:rPr>
          <w:sz w:val="32"/>
          <w:szCs w:val="32"/>
        </w:rPr>
        <w:t>не выполнен показатель</w:t>
      </w:r>
      <w:r w:rsidR="00113912" w:rsidRPr="0015067A">
        <w:rPr>
          <w:sz w:val="32"/>
          <w:szCs w:val="32"/>
        </w:rPr>
        <w:t xml:space="preserve"> результативности использования субсидии из федерального бюджета «Техническая готовность объекта» (на 2021 год план – 20%, факт -0).</w:t>
      </w:r>
      <w:r w:rsidR="00882910" w:rsidRPr="0015067A">
        <w:rPr>
          <w:sz w:val="32"/>
          <w:szCs w:val="32"/>
        </w:rPr>
        <w:t xml:space="preserve"> Тем не менее, средства федерального бюджета по Объекту </w:t>
      </w:r>
      <w:proofErr w:type="spellStart"/>
      <w:r w:rsidR="00882910" w:rsidRPr="0015067A">
        <w:rPr>
          <w:sz w:val="32"/>
          <w:szCs w:val="32"/>
        </w:rPr>
        <w:t>севестированы</w:t>
      </w:r>
      <w:proofErr w:type="spellEnd"/>
      <w:r w:rsidR="00882910" w:rsidRPr="0015067A">
        <w:rPr>
          <w:sz w:val="32"/>
          <w:szCs w:val="32"/>
        </w:rPr>
        <w:t xml:space="preserve"> не были. </w:t>
      </w:r>
    </w:p>
    <w:p w:rsidR="001C756C" w:rsidRDefault="00882910" w:rsidP="001C756C">
      <w:pPr>
        <w:shd w:val="clear" w:color="auto" w:fill="FFFFFF"/>
        <w:tabs>
          <w:tab w:val="left" w:pos="1134"/>
        </w:tabs>
        <w:ind w:firstLine="709"/>
        <w:jc w:val="both"/>
        <w:rPr>
          <w:sz w:val="32"/>
          <w:szCs w:val="32"/>
        </w:rPr>
      </w:pPr>
      <w:r w:rsidRPr="0015067A">
        <w:rPr>
          <w:sz w:val="32"/>
          <w:szCs w:val="32"/>
        </w:rPr>
        <w:t>В настоящее время в рамках заключенного дополнительного оглашения к Соглашению на Объект предусмотрены средства федерального бюджета</w:t>
      </w:r>
      <w:r w:rsidR="00684C89" w:rsidRPr="0015067A">
        <w:rPr>
          <w:sz w:val="32"/>
          <w:szCs w:val="32"/>
        </w:rPr>
        <w:t xml:space="preserve"> и </w:t>
      </w:r>
      <w:proofErr w:type="spellStart"/>
      <w:r w:rsidR="00684C89" w:rsidRPr="0015067A">
        <w:rPr>
          <w:sz w:val="32"/>
          <w:szCs w:val="32"/>
        </w:rPr>
        <w:t>софинансирование</w:t>
      </w:r>
      <w:proofErr w:type="spellEnd"/>
      <w:r w:rsidR="00684C89" w:rsidRPr="0015067A">
        <w:rPr>
          <w:sz w:val="32"/>
          <w:szCs w:val="32"/>
        </w:rPr>
        <w:t xml:space="preserve"> за счет средств областного бюджета Тверской области</w:t>
      </w:r>
      <w:r w:rsidRPr="0015067A">
        <w:rPr>
          <w:sz w:val="32"/>
          <w:szCs w:val="32"/>
        </w:rPr>
        <w:t xml:space="preserve">: </w:t>
      </w:r>
    </w:p>
    <w:p w:rsidR="00882910" w:rsidRPr="001C756C" w:rsidRDefault="001C756C" w:rsidP="001C756C">
      <w:pPr>
        <w:shd w:val="clear" w:color="auto" w:fill="FFFFFF"/>
        <w:tabs>
          <w:tab w:val="left" w:pos="1134"/>
        </w:tabs>
        <w:ind w:firstLine="709"/>
        <w:jc w:val="both"/>
      </w:pPr>
      <w:r>
        <w:rPr>
          <w:sz w:val="32"/>
          <w:szCs w:val="32"/>
        </w:rPr>
        <w:t xml:space="preserve">                                                                                              </w:t>
      </w:r>
      <w:bookmarkStart w:id="0" w:name="_GoBack"/>
      <w:bookmarkEnd w:id="0"/>
      <w:r>
        <w:rPr>
          <w:sz w:val="32"/>
          <w:szCs w:val="32"/>
        </w:rPr>
        <w:t xml:space="preserve">  </w:t>
      </w:r>
      <w:r w:rsidR="00882910" w:rsidRPr="001C756C">
        <w:t>тыс. руб.</w:t>
      </w:r>
    </w:p>
    <w:tbl>
      <w:tblPr>
        <w:tblStyle w:val="ab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992"/>
        <w:gridCol w:w="1276"/>
        <w:gridCol w:w="1276"/>
        <w:gridCol w:w="1275"/>
        <w:gridCol w:w="1277"/>
        <w:gridCol w:w="1275"/>
      </w:tblGrid>
      <w:tr w:rsidR="00882910" w:rsidRPr="001C756C" w:rsidTr="001C756C">
        <w:tc>
          <w:tcPr>
            <w:tcW w:w="3686" w:type="dxa"/>
            <w:gridSpan w:val="3"/>
            <w:vAlign w:val="center"/>
          </w:tcPr>
          <w:p w:rsidR="00882910" w:rsidRPr="001C756C" w:rsidRDefault="00882910" w:rsidP="00F11565">
            <w:pPr>
              <w:jc w:val="center"/>
            </w:pPr>
            <w:r w:rsidRPr="001C756C">
              <w:t>2021 год</w:t>
            </w:r>
          </w:p>
        </w:tc>
        <w:tc>
          <w:tcPr>
            <w:tcW w:w="3544" w:type="dxa"/>
            <w:gridSpan w:val="3"/>
            <w:vAlign w:val="center"/>
          </w:tcPr>
          <w:p w:rsidR="00882910" w:rsidRPr="001C756C" w:rsidRDefault="00882910" w:rsidP="00F11565">
            <w:pPr>
              <w:jc w:val="center"/>
            </w:pPr>
            <w:r w:rsidRPr="001C756C">
              <w:t>2022 год</w:t>
            </w:r>
          </w:p>
        </w:tc>
        <w:tc>
          <w:tcPr>
            <w:tcW w:w="3827" w:type="dxa"/>
            <w:gridSpan w:val="3"/>
            <w:vAlign w:val="center"/>
          </w:tcPr>
          <w:p w:rsidR="00882910" w:rsidRPr="001C756C" w:rsidRDefault="00882910" w:rsidP="00F11565">
            <w:pPr>
              <w:jc w:val="center"/>
            </w:pPr>
            <w:r w:rsidRPr="001C756C">
              <w:t>2023 год</w:t>
            </w:r>
          </w:p>
        </w:tc>
      </w:tr>
      <w:tr w:rsidR="001C756C" w:rsidRPr="001C756C" w:rsidTr="001C756C">
        <w:tc>
          <w:tcPr>
            <w:tcW w:w="1134" w:type="dxa"/>
            <w:vAlign w:val="center"/>
          </w:tcPr>
          <w:p w:rsidR="00882910" w:rsidRPr="001C756C" w:rsidRDefault="00882910" w:rsidP="00F11565">
            <w:pPr>
              <w:jc w:val="center"/>
            </w:pPr>
            <w:r w:rsidRPr="001C756C">
              <w:t>ОБ</w:t>
            </w:r>
          </w:p>
        </w:tc>
        <w:tc>
          <w:tcPr>
            <w:tcW w:w="1276" w:type="dxa"/>
            <w:vAlign w:val="center"/>
          </w:tcPr>
          <w:p w:rsidR="00882910" w:rsidRPr="001C756C" w:rsidRDefault="00882910" w:rsidP="00F11565">
            <w:pPr>
              <w:jc w:val="center"/>
            </w:pPr>
            <w:r w:rsidRPr="001C756C">
              <w:t>ФБ</w:t>
            </w:r>
          </w:p>
        </w:tc>
        <w:tc>
          <w:tcPr>
            <w:tcW w:w="1276" w:type="dxa"/>
            <w:vAlign w:val="center"/>
          </w:tcPr>
          <w:p w:rsidR="00882910" w:rsidRPr="001C756C" w:rsidRDefault="00882910" w:rsidP="00F11565">
            <w:pPr>
              <w:jc w:val="center"/>
            </w:pPr>
            <w:r w:rsidRPr="001C756C">
              <w:t>Итого</w:t>
            </w:r>
          </w:p>
        </w:tc>
        <w:tc>
          <w:tcPr>
            <w:tcW w:w="992" w:type="dxa"/>
            <w:vAlign w:val="center"/>
          </w:tcPr>
          <w:p w:rsidR="00882910" w:rsidRPr="001C756C" w:rsidRDefault="00882910" w:rsidP="00F11565">
            <w:pPr>
              <w:jc w:val="center"/>
            </w:pPr>
            <w:r w:rsidRPr="001C756C">
              <w:t>ОБ</w:t>
            </w:r>
          </w:p>
        </w:tc>
        <w:tc>
          <w:tcPr>
            <w:tcW w:w="1276" w:type="dxa"/>
            <w:vAlign w:val="center"/>
          </w:tcPr>
          <w:p w:rsidR="00882910" w:rsidRPr="001C756C" w:rsidRDefault="00882910" w:rsidP="00F11565">
            <w:pPr>
              <w:jc w:val="center"/>
            </w:pPr>
            <w:r w:rsidRPr="001C756C">
              <w:t>ФБ</w:t>
            </w:r>
          </w:p>
        </w:tc>
        <w:tc>
          <w:tcPr>
            <w:tcW w:w="1276" w:type="dxa"/>
            <w:vAlign w:val="center"/>
          </w:tcPr>
          <w:p w:rsidR="00882910" w:rsidRPr="001C756C" w:rsidRDefault="00882910" w:rsidP="00F11565">
            <w:pPr>
              <w:jc w:val="center"/>
            </w:pPr>
            <w:r w:rsidRPr="001C756C">
              <w:t>Итого</w:t>
            </w:r>
          </w:p>
        </w:tc>
        <w:tc>
          <w:tcPr>
            <w:tcW w:w="1275" w:type="dxa"/>
            <w:vAlign w:val="center"/>
          </w:tcPr>
          <w:p w:rsidR="00882910" w:rsidRPr="001C756C" w:rsidRDefault="00882910" w:rsidP="00F11565">
            <w:pPr>
              <w:jc w:val="center"/>
            </w:pPr>
            <w:r w:rsidRPr="001C756C">
              <w:t>ОБ</w:t>
            </w:r>
          </w:p>
        </w:tc>
        <w:tc>
          <w:tcPr>
            <w:tcW w:w="1277" w:type="dxa"/>
            <w:vAlign w:val="center"/>
          </w:tcPr>
          <w:p w:rsidR="00882910" w:rsidRPr="001C756C" w:rsidRDefault="00882910" w:rsidP="00F11565">
            <w:pPr>
              <w:jc w:val="center"/>
            </w:pPr>
            <w:r w:rsidRPr="001C756C">
              <w:t>ФБ</w:t>
            </w:r>
          </w:p>
        </w:tc>
        <w:tc>
          <w:tcPr>
            <w:tcW w:w="1275" w:type="dxa"/>
            <w:vAlign w:val="center"/>
          </w:tcPr>
          <w:p w:rsidR="00882910" w:rsidRPr="001C756C" w:rsidRDefault="00882910" w:rsidP="00F11565">
            <w:pPr>
              <w:jc w:val="center"/>
            </w:pPr>
            <w:r w:rsidRPr="001C756C">
              <w:t>Итого</w:t>
            </w:r>
          </w:p>
        </w:tc>
      </w:tr>
      <w:tr w:rsidR="001C756C" w:rsidRPr="001C756C" w:rsidTr="001C756C">
        <w:tc>
          <w:tcPr>
            <w:tcW w:w="1134" w:type="dxa"/>
            <w:vAlign w:val="center"/>
          </w:tcPr>
          <w:p w:rsidR="00882910" w:rsidRPr="001C756C" w:rsidRDefault="00882910" w:rsidP="00882910">
            <w:r w:rsidRPr="001C756C">
              <w:t>15 130,9</w:t>
            </w:r>
          </w:p>
        </w:tc>
        <w:tc>
          <w:tcPr>
            <w:tcW w:w="1276" w:type="dxa"/>
            <w:vAlign w:val="center"/>
          </w:tcPr>
          <w:p w:rsidR="00882910" w:rsidRPr="001C756C" w:rsidRDefault="00882910" w:rsidP="00882910">
            <w:r w:rsidRPr="001C756C">
              <w:t>108 345,0</w:t>
            </w:r>
          </w:p>
        </w:tc>
        <w:tc>
          <w:tcPr>
            <w:tcW w:w="1276" w:type="dxa"/>
            <w:vAlign w:val="center"/>
          </w:tcPr>
          <w:p w:rsidR="00882910" w:rsidRPr="001C756C" w:rsidRDefault="00882910" w:rsidP="00882910">
            <w:r w:rsidRPr="001C756C">
              <w:t>123 475,9</w:t>
            </w:r>
          </w:p>
        </w:tc>
        <w:tc>
          <w:tcPr>
            <w:tcW w:w="992" w:type="dxa"/>
            <w:vAlign w:val="center"/>
          </w:tcPr>
          <w:p w:rsidR="00882910" w:rsidRPr="001C756C" w:rsidRDefault="00882910" w:rsidP="00882910">
            <w:r w:rsidRPr="001C756C">
              <w:t>6 801,1</w:t>
            </w:r>
          </w:p>
        </w:tc>
        <w:tc>
          <w:tcPr>
            <w:tcW w:w="1276" w:type="dxa"/>
            <w:vAlign w:val="center"/>
          </w:tcPr>
          <w:p w:rsidR="00882910" w:rsidRPr="001C756C" w:rsidRDefault="00882910" w:rsidP="00882910">
            <w:r w:rsidRPr="001C756C">
              <w:t>219 903,1</w:t>
            </w:r>
          </w:p>
        </w:tc>
        <w:tc>
          <w:tcPr>
            <w:tcW w:w="1276" w:type="dxa"/>
            <w:vAlign w:val="center"/>
          </w:tcPr>
          <w:p w:rsidR="00882910" w:rsidRPr="001C756C" w:rsidRDefault="00882910" w:rsidP="00882910">
            <w:r w:rsidRPr="001C756C">
              <w:t>226 704,2</w:t>
            </w:r>
          </w:p>
        </w:tc>
        <w:tc>
          <w:tcPr>
            <w:tcW w:w="1275" w:type="dxa"/>
            <w:vAlign w:val="center"/>
          </w:tcPr>
          <w:p w:rsidR="00882910" w:rsidRPr="001C756C" w:rsidRDefault="00882910" w:rsidP="00882910">
            <w:r w:rsidRPr="001C756C">
              <w:t>128 591,8</w:t>
            </w:r>
          </w:p>
        </w:tc>
        <w:tc>
          <w:tcPr>
            <w:tcW w:w="1277" w:type="dxa"/>
            <w:vAlign w:val="center"/>
          </w:tcPr>
          <w:p w:rsidR="00882910" w:rsidRPr="001C756C" w:rsidRDefault="00882910" w:rsidP="00882910">
            <w:r w:rsidRPr="001C756C">
              <w:t>162 983,9</w:t>
            </w:r>
          </w:p>
        </w:tc>
        <w:tc>
          <w:tcPr>
            <w:tcW w:w="1275" w:type="dxa"/>
            <w:vAlign w:val="center"/>
          </w:tcPr>
          <w:p w:rsidR="00882910" w:rsidRPr="001C756C" w:rsidRDefault="00882910" w:rsidP="00882910">
            <w:r w:rsidRPr="001C756C">
              <w:t>291 575,7</w:t>
            </w:r>
          </w:p>
        </w:tc>
      </w:tr>
    </w:tbl>
    <w:p w:rsidR="00882910" w:rsidRPr="0015067A" w:rsidRDefault="00882910" w:rsidP="001C1C4A">
      <w:pPr>
        <w:shd w:val="clear" w:color="auto" w:fill="FFFFFF"/>
        <w:tabs>
          <w:tab w:val="left" w:pos="1134"/>
        </w:tabs>
        <w:ind w:firstLine="709"/>
        <w:jc w:val="both"/>
        <w:rPr>
          <w:sz w:val="32"/>
          <w:szCs w:val="32"/>
        </w:rPr>
      </w:pPr>
    </w:p>
    <w:p w:rsidR="0020011D" w:rsidRPr="0015067A" w:rsidRDefault="00113912" w:rsidP="001C1C4A">
      <w:pPr>
        <w:shd w:val="clear" w:color="auto" w:fill="FFFFFF"/>
        <w:tabs>
          <w:tab w:val="left" w:pos="1134"/>
        </w:tabs>
        <w:ind w:firstLine="709"/>
        <w:jc w:val="both"/>
        <w:rPr>
          <w:sz w:val="32"/>
          <w:szCs w:val="32"/>
        </w:rPr>
      </w:pPr>
      <w:r w:rsidRPr="0015067A">
        <w:rPr>
          <w:sz w:val="32"/>
          <w:szCs w:val="32"/>
        </w:rPr>
        <w:t>Разработк</w:t>
      </w:r>
      <w:r w:rsidR="00882910" w:rsidRPr="0015067A">
        <w:rPr>
          <w:sz w:val="32"/>
          <w:szCs w:val="32"/>
        </w:rPr>
        <w:t>а</w:t>
      </w:r>
      <w:r w:rsidRPr="0015067A">
        <w:rPr>
          <w:sz w:val="32"/>
          <w:szCs w:val="32"/>
        </w:rPr>
        <w:t xml:space="preserve"> проектной документации завершена подрядчиком в декабре 2021 года. В </w:t>
      </w:r>
      <w:r w:rsidR="000D6CF2" w:rsidRPr="0015067A">
        <w:rPr>
          <w:sz w:val="32"/>
          <w:szCs w:val="32"/>
        </w:rPr>
        <w:t>январе</w:t>
      </w:r>
      <w:r w:rsidRPr="0015067A">
        <w:rPr>
          <w:sz w:val="32"/>
          <w:szCs w:val="32"/>
        </w:rPr>
        <w:t xml:space="preserve"> проектная документация по объекту загруж</w:t>
      </w:r>
      <w:r w:rsidR="00960D4B" w:rsidRPr="0015067A">
        <w:rPr>
          <w:sz w:val="32"/>
          <w:szCs w:val="32"/>
        </w:rPr>
        <w:t>ена</w:t>
      </w:r>
      <w:r w:rsidRPr="0015067A">
        <w:rPr>
          <w:sz w:val="32"/>
          <w:szCs w:val="32"/>
        </w:rPr>
        <w:t xml:space="preserve"> в ГАУ «</w:t>
      </w:r>
      <w:proofErr w:type="spellStart"/>
      <w:r w:rsidRPr="0015067A">
        <w:rPr>
          <w:sz w:val="32"/>
          <w:szCs w:val="32"/>
        </w:rPr>
        <w:t>Госэкспертиза</w:t>
      </w:r>
      <w:proofErr w:type="spellEnd"/>
      <w:r w:rsidRPr="0015067A">
        <w:rPr>
          <w:sz w:val="32"/>
          <w:szCs w:val="32"/>
        </w:rPr>
        <w:t xml:space="preserve"> Тверской области». По информации ГКУ «</w:t>
      </w:r>
      <w:proofErr w:type="spellStart"/>
      <w:r w:rsidRPr="0015067A">
        <w:rPr>
          <w:sz w:val="32"/>
          <w:szCs w:val="32"/>
        </w:rPr>
        <w:t>Тверьоблстроййзаказчик</w:t>
      </w:r>
      <w:proofErr w:type="spellEnd"/>
      <w:r w:rsidRPr="0015067A">
        <w:rPr>
          <w:sz w:val="32"/>
          <w:szCs w:val="32"/>
        </w:rPr>
        <w:t>» ориентировочный срок получения заключения государственной экспертизы – минимум через 2 месяца.</w:t>
      </w:r>
    </w:p>
    <w:p w:rsidR="000D6CF2" w:rsidRPr="0015067A" w:rsidRDefault="000D6CF2" w:rsidP="001C1C4A">
      <w:pPr>
        <w:shd w:val="clear" w:color="auto" w:fill="FFFFFF"/>
        <w:tabs>
          <w:tab w:val="left" w:pos="1134"/>
        </w:tabs>
        <w:ind w:firstLine="709"/>
        <w:jc w:val="both"/>
        <w:rPr>
          <w:sz w:val="32"/>
          <w:szCs w:val="32"/>
        </w:rPr>
      </w:pPr>
      <w:r w:rsidRPr="0015067A">
        <w:rPr>
          <w:sz w:val="32"/>
          <w:szCs w:val="32"/>
        </w:rPr>
        <w:t>В соответствии с заключенным контрактом срок ввода объекта в эксплуатацию – до 31.01.2023. Однако по информации ГКУ «</w:t>
      </w:r>
      <w:proofErr w:type="spellStart"/>
      <w:r w:rsidRPr="0015067A">
        <w:rPr>
          <w:sz w:val="32"/>
          <w:szCs w:val="32"/>
        </w:rPr>
        <w:t>Тверьоблстроййзаказчик</w:t>
      </w:r>
      <w:proofErr w:type="spellEnd"/>
      <w:r w:rsidRPr="0015067A">
        <w:rPr>
          <w:sz w:val="32"/>
          <w:szCs w:val="32"/>
        </w:rPr>
        <w:t xml:space="preserve">» работы по подготовке строительной площадки начаты только 25.11.2021 и на текущий момент не </w:t>
      </w:r>
      <w:r w:rsidRPr="0015067A">
        <w:rPr>
          <w:sz w:val="32"/>
          <w:szCs w:val="32"/>
        </w:rPr>
        <w:lastRenderedPageBreak/>
        <w:t>завершены.</w:t>
      </w:r>
      <w:r w:rsidR="0015067A" w:rsidRPr="0015067A">
        <w:rPr>
          <w:sz w:val="32"/>
          <w:szCs w:val="32"/>
        </w:rPr>
        <w:t xml:space="preserve"> </w:t>
      </w:r>
      <w:r w:rsidRPr="0015067A">
        <w:rPr>
          <w:sz w:val="32"/>
          <w:szCs w:val="32"/>
        </w:rPr>
        <w:t>Темп производства работ низкий. Строительная площадка не огорожена, паспорт объекта не разработан. Отставание от контрактного графика производства работ составляет более 1 месяца.</w:t>
      </w:r>
    </w:p>
    <w:p w:rsidR="000D6CF2" w:rsidRPr="0015067A" w:rsidRDefault="000D6CF2" w:rsidP="001C1C4A">
      <w:pPr>
        <w:shd w:val="clear" w:color="auto" w:fill="FFFFFF"/>
        <w:tabs>
          <w:tab w:val="left" w:pos="1134"/>
        </w:tabs>
        <w:ind w:firstLine="709"/>
        <w:jc w:val="both"/>
        <w:rPr>
          <w:sz w:val="32"/>
          <w:szCs w:val="32"/>
        </w:rPr>
      </w:pPr>
    </w:p>
    <w:p w:rsidR="00CC61FA" w:rsidRPr="0015067A" w:rsidRDefault="00CC61FA" w:rsidP="001C1C4A">
      <w:pPr>
        <w:shd w:val="clear" w:color="auto" w:fill="FFFFFF"/>
        <w:tabs>
          <w:tab w:val="left" w:pos="1134"/>
        </w:tabs>
        <w:ind w:firstLine="709"/>
        <w:jc w:val="both"/>
        <w:rPr>
          <w:sz w:val="32"/>
          <w:szCs w:val="32"/>
        </w:rPr>
      </w:pPr>
    </w:p>
    <w:p w:rsidR="00206ED0" w:rsidRPr="0015067A" w:rsidRDefault="00206ED0" w:rsidP="001C1C4A">
      <w:pPr>
        <w:shd w:val="clear" w:color="auto" w:fill="FFFFFF"/>
        <w:tabs>
          <w:tab w:val="left" w:pos="1134"/>
        </w:tabs>
        <w:ind w:firstLine="709"/>
        <w:jc w:val="both"/>
        <w:rPr>
          <w:sz w:val="32"/>
          <w:szCs w:val="32"/>
        </w:rPr>
      </w:pPr>
    </w:p>
    <w:p w:rsidR="00206ED0" w:rsidRPr="0015067A" w:rsidRDefault="00206ED0" w:rsidP="001C1C4A">
      <w:pPr>
        <w:shd w:val="clear" w:color="auto" w:fill="FFFFFF"/>
        <w:tabs>
          <w:tab w:val="left" w:pos="1134"/>
        </w:tabs>
        <w:ind w:firstLine="709"/>
        <w:jc w:val="both"/>
        <w:rPr>
          <w:sz w:val="32"/>
          <w:szCs w:val="32"/>
        </w:rPr>
      </w:pPr>
    </w:p>
    <w:sectPr w:rsidR="00206ED0" w:rsidRPr="0015067A" w:rsidSect="00F7336F">
      <w:headerReference w:type="default" r:id="rId6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11A" w:rsidRDefault="003E411A" w:rsidP="00B43BB5">
      <w:r>
        <w:separator/>
      </w:r>
    </w:p>
  </w:endnote>
  <w:endnote w:type="continuationSeparator" w:id="0">
    <w:p w:rsidR="003E411A" w:rsidRDefault="003E411A" w:rsidP="00B4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11A" w:rsidRDefault="003E411A" w:rsidP="00B43BB5">
      <w:r>
        <w:separator/>
      </w:r>
    </w:p>
  </w:footnote>
  <w:footnote w:type="continuationSeparator" w:id="0">
    <w:p w:rsidR="003E411A" w:rsidRDefault="003E411A" w:rsidP="00B43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0795305"/>
      <w:docPartObj>
        <w:docPartGallery w:val="Page Numbers (Top of Page)"/>
        <w:docPartUnique/>
      </w:docPartObj>
    </w:sdtPr>
    <w:sdtEndPr/>
    <w:sdtContent>
      <w:p w:rsidR="00B43BB5" w:rsidRDefault="00B43BB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56C">
          <w:rPr>
            <w:noProof/>
          </w:rPr>
          <w:t>3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41"/>
    <w:rsid w:val="000172DE"/>
    <w:rsid w:val="000D6CF2"/>
    <w:rsid w:val="00113912"/>
    <w:rsid w:val="0015067A"/>
    <w:rsid w:val="0015647B"/>
    <w:rsid w:val="001A3F22"/>
    <w:rsid w:val="001C1C4A"/>
    <w:rsid w:val="001C756C"/>
    <w:rsid w:val="001F3B13"/>
    <w:rsid w:val="0020011D"/>
    <w:rsid w:val="00206ED0"/>
    <w:rsid w:val="00285698"/>
    <w:rsid w:val="002E2052"/>
    <w:rsid w:val="002F4B60"/>
    <w:rsid w:val="00306630"/>
    <w:rsid w:val="00310DBD"/>
    <w:rsid w:val="00343836"/>
    <w:rsid w:val="003E411A"/>
    <w:rsid w:val="004E2CA3"/>
    <w:rsid w:val="0059434C"/>
    <w:rsid w:val="00595664"/>
    <w:rsid w:val="005B6EA3"/>
    <w:rsid w:val="006069E2"/>
    <w:rsid w:val="0061374C"/>
    <w:rsid w:val="006205B1"/>
    <w:rsid w:val="00654F90"/>
    <w:rsid w:val="00684C89"/>
    <w:rsid w:val="006B273A"/>
    <w:rsid w:val="00882910"/>
    <w:rsid w:val="0088493E"/>
    <w:rsid w:val="008A4A8D"/>
    <w:rsid w:val="00922A7D"/>
    <w:rsid w:val="00960D4B"/>
    <w:rsid w:val="009C131E"/>
    <w:rsid w:val="00A23976"/>
    <w:rsid w:val="00A41CE0"/>
    <w:rsid w:val="00A9442D"/>
    <w:rsid w:val="00AA55A7"/>
    <w:rsid w:val="00AB2ED6"/>
    <w:rsid w:val="00AD0163"/>
    <w:rsid w:val="00AE3B84"/>
    <w:rsid w:val="00B4183B"/>
    <w:rsid w:val="00B43BB5"/>
    <w:rsid w:val="00B908CA"/>
    <w:rsid w:val="00BE33F9"/>
    <w:rsid w:val="00C066CA"/>
    <w:rsid w:val="00C36041"/>
    <w:rsid w:val="00C3692E"/>
    <w:rsid w:val="00C62403"/>
    <w:rsid w:val="00CB452A"/>
    <w:rsid w:val="00CC61FA"/>
    <w:rsid w:val="00CD21C5"/>
    <w:rsid w:val="00CE44D3"/>
    <w:rsid w:val="00D14A18"/>
    <w:rsid w:val="00D76048"/>
    <w:rsid w:val="00DB43A7"/>
    <w:rsid w:val="00DD191E"/>
    <w:rsid w:val="00E007B8"/>
    <w:rsid w:val="00E16544"/>
    <w:rsid w:val="00EA70AA"/>
    <w:rsid w:val="00EB7F2D"/>
    <w:rsid w:val="00EE3702"/>
    <w:rsid w:val="00F72D31"/>
    <w:rsid w:val="00F7336F"/>
    <w:rsid w:val="00F84BF4"/>
    <w:rsid w:val="00FB2BDC"/>
    <w:rsid w:val="00FC387A"/>
    <w:rsid w:val="00FD0F0D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0FE74-790C-42CD-9D16-F844A5C9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60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A70A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A70AA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B43BB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3B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43BB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3B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nhideWhenUsed/>
    <w:rsid w:val="00F84BF4"/>
    <w:pPr>
      <w:spacing w:before="100" w:beforeAutospacing="1" w:after="100" w:afterAutospacing="1"/>
    </w:pPr>
  </w:style>
  <w:style w:type="paragraph" w:customStyle="1" w:styleId="ConsPlusNonformat">
    <w:name w:val="ConsPlusNonformat"/>
    <w:rsid w:val="001F3B1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Гипертекстовая ссылка"/>
    <w:basedOn w:val="a0"/>
    <w:uiPriority w:val="99"/>
    <w:rsid w:val="001C1C4A"/>
    <w:rPr>
      <w:color w:val="106BBE"/>
    </w:rPr>
  </w:style>
  <w:style w:type="table" w:styleId="ab">
    <w:name w:val="Table Grid"/>
    <w:basedOn w:val="a1"/>
    <w:uiPriority w:val="39"/>
    <w:rsid w:val="0088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2022-01-19T09:53:00Z</cp:lastPrinted>
  <dcterms:created xsi:type="dcterms:W3CDTF">2022-02-14T08:34:00Z</dcterms:created>
  <dcterms:modified xsi:type="dcterms:W3CDTF">2022-02-22T12:45:00Z</dcterms:modified>
</cp:coreProperties>
</file>