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7C7BD" w14:textId="2865F95E" w:rsidR="00701DE2" w:rsidRDefault="00701DE2" w:rsidP="003029F6">
      <w:pPr>
        <w:pStyle w:val="myStyle"/>
        <w:rPr>
          <w:b/>
          <w:bCs/>
        </w:rPr>
      </w:pPr>
      <w:r>
        <w:rPr>
          <w:b/>
          <w:bCs/>
        </w:rPr>
        <w:t>Introduction</w:t>
      </w:r>
    </w:p>
    <w:p w14:paraId="48DDF57D" w14:textId="77777777" w:rsidR="001C358F" w:rsidRDefault="001C358F" w:rsidP="001C358F">
      <w:pPr>
        <w:pStyle w:val="myStyle"/>
      </w:pPr>
      <w:r>
        <w:t xml:space="preserve">In the realm of autonomous vehicles (AVs), trajectory prediction is paramount, serving as the eyes that anticipate the future movements of surrounding objects [1]. This crucial technology empowers AVs to navigate safely by foreseeing the paths of pedestrians, vehicles, and other elements [1]. Accurate and real-time trajectory prediction is essential for intelligent vehicles to adjust their maneuvers according to the running state of the vehicles in front of them [1]. </w:t>
      </w:r>
    </w:p>
    <w:p w14:paraId="061F9B7F" w14:textId="77777777" w:rsidR="001C358F" w:rsidRDefault="001C358F" w:rsidP="001C358F">
      <w:pPr>
        <w:pStyle w:val="myStyle"/>
      </w:pPr>
    </w:p>
    <w:p w14:paraId="059D1DDF" w14:textId="77777777" w:rsidR="001C358F" w:rsidRDefault="001C358F" w:rsidP="001C358F">
      <w:pPr>
        <w:pStyle w:val="myStyle"/>
      </w:pPr>
      <w:r>
        <w:t xml:space="preserve">The trajectory of a vehicle, which encompasses its path and dynamics such as speed and acceleration, provides critical information for safe and efficient driving through complex traffic scenarios [2]. Predicting the trajectory of the forward vehicle accurately enables intelligent vehicles to make informed decisions, such as lane changes, braking, and acceleration, based on anticipated movements [2]. </w:t>
      </w:r>
    </w:p>
    <w:p w14:paraId="778FB978" w14:textId="77777777" w:rsidR="001C358F" w:rsidRDefault="001C358F" w:rsidP="001C358F">
      <w:pPr>
        <w:pStyle w:val="myStyle"/>
      </w:pPr>
    </w:p>
    <w:p w14:paraId="78A2BABE" w14:textId="5FCB190B" w:rsidR="001C358F" w:rsidRDefault="001C358F" w:rsidP="001C358F">
      <w:pPr>
        <w:pStyle w:val="myStyle"/>
      </w:pPr>
      <w:r>
        <w:t>Furthermore, trajectory prediction plays a pivotal role in proactive traffic management by AVs, facilitating smoother traffic flow through early detection of potential collisions and timely implementation of evasive actions [3]. Ultimately, accurate trajectory prediction serves as the cornerstone of safety, reliability, and efficiency in the future of autonomous transportation [1, 2, 3].</w:t>
      </w:r>
    </w:p>
    <w:p w14:paraId="539E14BF" w14:textId="77777777" w:rsidR="00B453B1" w:rsidRDefault="00B453B1" w:rsidP="001C358F">
      <w:pPr>
        <w:pStyle w:val="myStyle"/>
      </w:pPr>
    </w:p>
    <w:p w14:paraId="518DC535" w14:textId="77777777" w:rsidR="00B453B1" w:rsidRDefault="00B453B1" w:rsidP="00B453B1">
      <w:pPr>
        <w:pStyle w:val="myStyle"/>
      </w:pPr>
      <w:bookmarkStart w:id="0" w:name="_Hlk164802757"/>
      <w:r>
        <w:t>Vehicle trajectory, delineating the path and dynamics of a vehicle including speed and acceleration, is fundamental in understanding its lateral positional relationship with respect to highway geometry [4]. This positional relationship often changes due to driver steering behavior, particularly evident when vehicles navigate curves [4]. In the intricate landscape of modern traffic scenarios, the accurate prediction of a vehicle's trajectory holds paramount importance for intelligent vehicles to navigate safely and efficiently [4]. Real-time trajectory prediction enables intelligent vehicles to adapt their maneuvers based on the dynamic states of preceding vehicles, enhancing overall safety and efficiency [4].</w:t>
      </w:r>
    </w:p>
    <w:p w14:paraId="46D3738C" w14:textId="77777777" w:rsidR="00B453B1" w:rsidRDefault="00B453B1" w:rsidP="00B453B1">
      <w:pPr>
        <w:pStyle w:val="myStyle"/>
      </w:pPr>
    </w:p>
    <w:p w14:paraId="39048DEA" w14:textId="77777777" w:rsidR="00B453B1" w:rsidRDefault="00B453B1" w:rsidP="00B453B1">
      <w:pPr>
        <w:pStyle w:val="myStyle"/>
      </w:pPr>
      <w:r>
        <w:t xml:space="preserve">In the realm of autonomous vehicles (AVs), trajectory prediction serves as a crucial component akin to eyesight, enabling AVs to foresee the future movements of surrounding objects [1]. This technology empowers AVs to navigate safely by </w:t>
      </w:r>
      <w:r>
        <w:lastRenderedPageBreak/>
        <w:t>anticipating the paths of pedestrians, vehicles, and other elements, thereby facilitating proactive collision avoidance and maneuver planning [1]. Trajectory prediction influences decision-making processes for lane changes, braking, and acceleration, providing foresight that contributes to smoother traffic flow and proactive traffic management [2, 3]. Ultimately, accurate trajectory prediction forms the bedrock of safety, reliability, and efficiency in the future of autonomous transportation [1, 2, 3].</w:t>
      </w:r>
    </w:p>
    <w:p w14:paraId="7EC50B7E" w14:textId="77777777" w:rsidR="00B453B1" w:rsidRDefault="00B453B1" w:rsidP="00B453B1">
      <w:pPr>
        <w:pStyle w:val="myStyle"/>
      </w:pPr>
    </w:p>
    <w:p w14:paraId="6A45DCFF" w14:textId="6856D788" w:rsidR="00B453B1" w:rsidRPr="001C358F" w:rsidRDefault="00B453B1" w:rsidP="00B453B1">
      <w:pPr>
        <w:pStyle w:val="myStyle"/>
      </w:pPr>
      <w:r>
        <w:t>In a mixed traffic environment encompassing various road agents such as cars, buses, trucks, bicycles, pedestrians, and even animals, predicting trajectories becomes a multifaceted challenge [5]. This necessitates the consideration of driver behavior and turning radius to accurately anticipate and navigate through diverse traffic scenarios.</w:t>
      </w:r>
    </w:p>
    <w:bookmarkEnd w:id="0"/>
    <w:p w14:paraId="4FF821D4" w14:textId="77777777" w:rsidR="00FD10B7" w:rsidRDefault="00FD10B7" w:rsidP="00FD10B7">
      <w:pPr>
        <w:numPr>
          <w:ilvl w:val="0"/>
          <w:numId w:val="10"/>
        </w:numPr>
        <w:shd w:val="clear" w:color="auto" w:fill="131314"/>
        <w:spacing w:before="100" w:beforeAutospacing="1" w:after="0" w:line="240" w:lineRule="auto"/>
        <w:rPr>
          <w:rFonts w:ascii="Arial" w:hAnsi="Arial" w:cs="Arial"/>
          <w:color w:val="E3E3E3"/>
        </w:rPr>
      </w:pPr>
      <w:r>
        <w:rPr>
          <w:rFonts w:ascii="Arial" w:hAnsi="Arial" w:cs="Arial"/>
          <w:color w:val="E3E3E3"/>
        </w:rPr>
        <w:t>1] Dos Santos, B., et al. (2021). Trajectory Prediction for Autonomous Vehicles: A Survey of the State-of-the-Art and Future Challenges. </w:t>
      </w:r>
      <w:hyperlink r:id="rId5" w:tgtFrame="_blank" w:history="1">
        <w:r>
          <w:rPr>
            <w:rStyle w:val="Hyperlink"/>
            <w:rFonts w:ascii="Arial" w:hAnsi="Arial" w:cs="Arial"/>
          </w:rPr>
          <w:t>https://arxiv.</w:t>
        </w:r>
        <w:r>
          <w:rPr>
            <w:rStyle w:val="Hyperlink"/>
            <w:rFonts w:ascii="Arial" w:hAnsi="Arial" w:cs="Arial"/>
          </w:rPr>
          <w:t>o</w:t>
        </w:r>
        <w:r>
          <w:rPr>
            <w:rStyle w:val="Hyperlink"/>
            <w:rFonts w:ascii="Arial" w:hAnsi="Arial" w:cs="Arial"/>
          </w:rPr>
          <w:t>rg/abs</w:t>
        </w:r>
        <w:r>
          <w:rPr>
            <w:rStyle w:val="Hyperlink"/>
            <w:rFonts w:ascii="Arial" w:hAnsi="Arial" w:cs="Arial"/>
          </w:rPr>
          <w:t>/</w:t>
        </w:r>
        <w:r>
          <w:rPr>
            <w:rStyle w:val="Hyperlink"/>
            <w:rFonts w:ascii="Arial" w:hAnsi="Arial" w:cs="Arial"/>
          </w:rPr>
          <w:t>21</w:t>
        </w:r>
        <w:r>
          <w:rPr>
            <w:rStyle w:val="Hyperlink"/>
            <w:rFonts w:ascii="Arial" w:hAnsi="Arial" w:cs="Arial"/>
          </w:rPr>
          <w:t>0</w:t>
        </w:r>
        <w:r>
          <w:rPr>
            <w:rStyle w:val="Hyperlink"/>
            <w:rFonts w:ascii="Arial" w:hAnsi="Arial" w:cs="Arial"/>
          </w:rPr>
          <w:t>6.10204</w:t>
        </w:r>
      </w:hyperlink>
      <w:r>
        <w:rPr>
          <w:rFonts w:ascii="Arial" w:hAnsi="Arial" w:cs="Arial"/>
          <w:color w:val="E3E3E3"/>
        </w:rPr>
        <w:t> (word count: 3)</w:t>
      </w:r>
    </w:p>
    <w:p w14:paraId="7D369927" w14:textId="77777777" w:rsidR="00FD10B7" w:rsidRDefault="00FD10B7" w:rsidP="00FD10B7">
      <w:pPr>
        <w:numPr>
          <w:ilvl w:val="0"/>
          <w:numId w:val="10"/>
        </w:numPr>
        <w:shd w:val="clear" w:color="auto" w:fill="131314"/>
        <w:spacing w:before="100" w:beforeAutospacing="1" w:after="0" w:line="240" w:lineRule="auto"/>
        <w:rPr>
          <w:rFonts w:ascii="Arial" w:hAnsi="Arial" w:cs="Arial"/>
          <w:color w:val="E3E3E3"/>
        </w:rPr>
      </w:pPr>
      <w:r>
        <w:rPr>
          <w:rFonts w:ascii="Arial" w:hAnsi="Arial" w:cs="Arial"/>
          <w:color w:val="E3E3E3"/>
        </w:rPr>
        <w:t xml:space="preserve">[2, 3] (Combined due to word count limitations). </w:t>
      </w:r>
      <w:proofErr w:type="spellStart"/>
      <w:r>
        <w:rPr>
          <w:rFonts w:ascii="Arial" w:hAnsi="Arial" w:cs="Arial"/>
          <w:color w:val="E3E3E3"/>
        </w:rPr>
        <w:t>Lv</w:t>
      </w:r>
      <w:proofErr w:type="spellEnd"/>
      <w:r>
        <w:rPr>
          <w:rFonts w:ascii="Arial" w:hAnsi="Arial" w:cs="Arial"/>
          <w:color w:val="E3E3E3"/>
        </w:rPr>
        <w:t>, C., et al. (2020). A Survey of Deep Learning Techniques for Trajectory Prediction. </w:t>
      </w:r>
      <w:hyperlink r:id="rId6" w:tgtFrame="_blank" w:history="1">
        <w:r>
          <w:rPr>
            <w:rStyle w:val="Hyperlink"/>
            <w:rFonts w:ascii="Arial" w:hAnsi="Arial" w:cs="Arial"/>
          </w:rPr>
          <w:t>https://a</w:t>
        </w:r>
        <w:r>
          <w:rPr>
            <w:rStyle w:val="Hyperlink"/>
            <w:rFonts w:ascii="Arial" w:hAnsi="Arial" w:cs="Arial"/>
          </w:rPr>
          <w:t>r</w:t>
        </w:r>
        <w:r>
          <w:rPr>
            <w:rStyle w:val="Hyperlink"/>
            <w:rFonts w:ascii="Arial" w:hAnsi="Arial" w:cs="Arial"/>
          </w:rPr>
          <w:t>xiv.org/abs/2004.13119</w:t>
        </w:r>
      </w:hyperlink>
      <w:r>
        <w:rPr>
          <w:rFonts w:ascii="Arial" w:hAnsi="Arial" w:cs="Arial"/>
          <w:color w:val="E3E3E3"/>
        </w:rPr>
        <w:t>; Faghih, A., et al. (2018). Deep Learning for Traffic Flow Prediction and Anomaly Detection: A Survey. [invalid URL removed] (word count: 7)</w:t>
      </w:r>
    </w:p>
    <w:p w14:paraId="19D29967" w14:textId="77777777" w:rsidR="00FD10B7" w:rsidRDefault="00FD10B7" w:rsidP="003029F6">
      <w:pPr>
        <w:pStyle w:val="myStyle"/>
        <w:rPr>
          <w:b/>
          <w:bCs/>
        </w:rPr>
      </w:pPr>
    </w:p>
    <w:p w14:paraId="381F34D4" w14:textId="2CF93511" w:rsidR="00701DE2" w:rsidRDefault="00FD10B7" w:rsidP="00FD10B7">
      <w:pPr>
        <w:pStyle w:val="myStyle"/>
        <w:numPr>
          <w:ilvl w:val="0"/>
          <w:numId w:val="9"/>
        </w:numPr>
      </w:pPr>
      <w:hyperlink r:id="rId7" w:history="1">
        <w:r w:rsidRPr="001761EB">
          <w:rPr>
            <w:rStyle w:val="Hyperlink"/>
          </w:rPr>
          <w:t>https://etrr.spring</w:t>
        </w:r>
        <w:r w:rsidRPr="001761EB">
          <w:rPr>
            <w:rStyle w:val="Hyperlink"/>
          </w:rPr>
          <w:t>e</w:t>
        </w:r>
        <w:r w:rsidRPr="001761EB">
          <w:rPr>
            <w:rStyle w:val="Hyperlink"/>
          </w:rPr>
          <w:t>ropen.com/articles/10.1007/s12544-018-0284-x#:~:tex</w:t>
        </w:r>
        <w:r w:rsidRPr="001761EB">
          <w:rPr>
            <w:rStyle w:val="Hyperlink"/>
          </w:rPr>
          <w:t>t</w:t>
        </w:r>
        <w:r w:rsidRPr="001761EB">
          <w:rPr>
            <w:rStyle w:val="Hyperlink"/>
          </w:rPr>
          <w:t>=The%20trajectory%</w:t>
        </w:r>
        <w:r w:rsidRPr="001761EB">
          <w:rPr>
            <w:rStyle w:val="Hyperlink"/>
          </w:rPr>
          <w:t>2</w:t>
        </w:r>
        <w:r w:rsidRPr="001761EB">
          <w:rPr>
            <w:rStyle w:val="Hyperlink"/>
          </w:rPr>
          <w:t>0of%20a%20vehicle%20mainly%20describes%20the%20lateral%20positional,the%20vehicle%20enters%20a%20curve</w:t>
        </w:r>
      </w:hyperlink>
      <w:r w:rsidR="00701DE2" w:rsidRPr="00701DE2">
        <w:t>.</w:t>
      </w:r>
    </w:p>
    <w:p w14:paraId="6FB2612F" w14:textId="244DDBD0" w:rsidR="008F3097" w:rsidRDefault="00FD10B7" w:rsidP="00FD10B7">
      <w:pPr>
        <w:pStyle w:val="myStyle"/>
        <w:numPr>
          <w:ilvl w:val="0"/>
          <w:numId w:val="9"/>
        </w:numPr>
      </w:pPr>
      <w:hyperlink r:id="rId8" w:history="1">
        <w:r w:rsidRPr="001761EB">
          <w:rPr>
            <w:rStyle w:val="Hyperlink"/>
          </w:rPr>
          <w:t>https://ieeexplore.ieee.</w:t>
        </w:r>
        <w:r w:rsidRPr="001761EB">
          <w:rPr>
            <w:rStyle w:val="Hyperlink"/>
          </w:rPr>
          <w:t>o</w:t>
        </w:r>
        <w:r w:rsidRPr="001761EB">
          <w:rPr>
            <w:rStyle w:val="Hyperlink"/>
          </w:rPr>
          <w:t>rg/document/8880168</w:t>
        </w:r>
      </w:hyperlink>
    </w:p>
    <w:p w14:paraId="7172A7BB" w14:textId="77777777" w:rsidR="008F3097" w:rsidRPr="00701DE2" w:rsidRDefault="008F3097" w:rsidP="00FD10B7">
      <w:pPr>
        <w:pStyle w:val="myStyle"/>
        <w:numPr>
          <w:ilvl w:val="0"/>
          <w:numId w:val="9"/>
        </w:numPr>
      </w:pPr>
    </w:p>
    <w:p w14:paraId="557A202A" w14:textId="4F843D12" w:rsidR="003029F6" w:rsidRDefault="003029F6" w:rsidP="003029F6">
      <w:pPr>
        <w:pStyle w:val="myStyle"/>
        <w:rPr>
          <w:b/>
          <w:bCs/>
        </w:rPr>
      </w:pPr>
      <w:r w:rsidRPr="001A71F6">
        <w:rPr>
          <w:b/>
          <w:bCs/>
        </w:rPr>
        <w:t>Trajectory of a vehicle</w:t>
      </w:r>
      <w:r>
        <w:rPr>
          <w:b/>
          <w:bCs/>
        </w:rPr>
        <w:t xml:space="preserve"> </w:t>
      </w:r>
    </w:p>
    <w:p w14:paraId="31B44B72" w14:textId="531BA277" w:rsidR="003029F6" w:rsidRDefault="009051C5" w:rsidP="003029F6">
      <w:pPr>
        <w:pStyle w:val="myStyle"/>
        <w:rPr>
          <w:rFonts w:cs="Times New Roman"/>
        </w:rPr>
      </w:pPr>
      <w:r>
        <w:rPr>
          <w:rFonts w:cs="Times New Roman"/>
        </w:rPr>
        <w:t>1.</w:t>
      </w:r>
      <w:r w:rsidR="003029F6" w:rsidRPr="003029F6">
        <w:rPr>
          <w:rFonts w:cs="Times New Roman"/>
        </w:rPr>
        <w:t>https://www.sciencedirect.com/science/article/pii/S1877042812028984</w:t>
      </w:r>
    </w:p>
    <w:p w14:paraId="0C387E26" w14:textId="70976E29" w:rsidR="009051C5" w:rsidRDefault="009051C5" w:rsidP="003029F6">
      <w:pPr>
        <w:pStyle w:val="myStyle"/>
        <w:rPr>
          <w:rFonts w:cs="Times New Roman"/>
        </w:rPr>
      </w:pPr>
      <w:r>
        <w:rPr>
          <w:rFonts w:cs="Times New Roman"/>
        </w:rPr>
        <w:t>2.</w:t>
      </w:r>
      <w:r w:rsidRPr="009051C5">
        <w:t xml:space="preserve"> </w:t>
      </w:r>
      <w:r w:rsidRPr="009051C5">
        <w:rPr>
          <w:rFonts w:cs="Times New Roman"/>
        </w:rPr>
        <w:t>LaValle, S. M. (2006). Planning algorithms. Cambridge university press.</w:t>
      </w:r>
    </w:p>
    <w:p w14:paraId="79EBFA75" w14:textId="611F06EC" w:rsidR="009051C5" w:rsidRPr="003029F6" w:rsidRDefault="009051C5" w:rsidP="003029F6">
      <w:pPr>
        <w:pStyle w:val="myStyle"/>
        <w:rPr>
          <w:rFonts w:cs="Times New Roman"/>
        </w:rPr>
      </w:pPr>
      <w:r>
        <w:rPr>
          <w:rFonts w:cs="Times New Roman"/>
        </w:rPr>
        <w:t>3.</w:t>
      </w:r>
      <w:r w:rsidRPr="009051C5">
        <w:t xml:space="preserve"> </w:t>
      </w:r>
      <w:r w:rsidRPr="009051C5">
        <w:rPr>
          <w:rFonts w:cs="Times New Roman"/>
        </w:rPr>
        <w:t>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t>ADAS</w:t>
      </w:r>
    </w:p>
    <w:p w14:paraId="665CA790" w14:textId="7F7A9D3E" w:rsidR="009E6194" w:rsidRDefault="00000000" w:rsidP="009E6194">
      <w:pPr>
        <w:pStyle w:val="ListParagraph"/>
        <w:numPr>
          <w:ilvl w:val="0"/>
          <w:numId w:val="2"/>
        </w:numPr>
        <w:rPr>
          <w:rFonts w:ascii="Georgia" w:hAnsi="Georgia"/>
          <w:color w:val="1F1F1F"/>
        </w:rPr>
      </w:pPr>
      <w:hyperlink r:id="rId9"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human error which can be easily avoided by the use of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applications like blind spot monitoring, lane-keep assistance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Advanced driver-assistance systems (ADAS) are technologies that assist drivers with the safe operation of a vehicle. Through a human-machine interface, ADAS increase car and road safety. ADAS use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proofErr w:type="spellStart"/>
      <w:r>
        <w:rPr>
          <w:rFonts w:ascii="Georgia" w:hAnsi="Georgia"/>
          <w:color w:val="1F1F1F"/>
        </w:rPr>
        <w:t>trafficPredict</w:t>
      </w:r>
      <w:proofErr w:type="spellEnd"/>
    </w:p>
    <w:p w14:paraId="4A7C18A0" w14:textId="67EB7244" w:rsidR="000B22FF" w:rsidRDefault="00000000" w:rsidP="000B22FF">
      <w:pPr>
        <w:pStyle w:val="ListParagraph"/>
        <w:numPr>
          <w:ilvl w:val="0"/>
          <w:numId w:val="3"/>
        </w:numPr>
        <w:rPr>
          <w:rFonts w:ascii="Georgia" w:hAnsi="Georgia"/>
          <w:color w:val="1F1F1F"/>
        </w:rPr>
      </w:pPr>
      <w:hyperlink r:id="rId10"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To safely and efficiently navigate in complex urban traffic,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future trajectories accurately to help the autonomous 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vehicles (RVs), connected vehicles (CVs), and connected and automated vehicles (CAVs) will coexist on urban roads in the near future.</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11"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1" w:name="_Hlk164374662"/>
      <w:r w:rsidRPr="000D05FA">
        <w:rPr>
          <w:rFonts w:ascii="Georgia" w:hAnsi="Georgia"/>
          <w:color w:val="1F1F1F"/>
        </w:rPr>
        <w:t>Motion of road agent</w:t>
      </w:r>
      <w:r>
        <w:rPr>
          <w:rFonts w:ascii="Georgia" w:hAnsi="Georgia"/>
          <w:color w:val="1F1F1F"/>
        </w:rPr>
        <w:t xml:space="preserve"> paper: </w:t>
      </w:r>
      <w:bookmarkEnd w:id="1"/>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12" w:history="1">
        <w:r w:rsidRPr="00EF07D0">
          <w:rPr>
            <w:rStyle w:val="Hyperlink"/>
            <w:rFonts w:ascii="Georgia" w:hAnsi="Georgia"/>
          </w:rPr>
          <w:t>https://www.researchgate.net/publication/233864303_Exploiting_Map_Information_for_Driver_Intention_Estimation_at_Road_Intersections</w:t>
        </w:r>
      </w:hyperlink>
    </w:p>
    <w:p w14:paraId="01C8F4AC" w14:textId="54284C25" w:rsidR="001C2110"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hyperlink r:id="rId13" w:history="1">
        <w:r w:rsidR="00557BA7" w:rsidRPr="00C12E23">
          <w:rPr>
            <w:rStyle w:val="Hyperlink"/>
            <w:rFonts w:ascii="Georgia" w:hAnsi="Georgia"/>
          </w:rPr>
          <w:t>https://arxiv.org/abs/2402.04318</w:t>
        </w:r>
      </w:hyperlink>
    </w:p>
    <w:p w14:paraId="581AA285" w14:textId="77777777" w:rsidR="00557BA7" w:rsidRDefault="00557BA7" w:rsidP="000B22FF">
      <w:pPr>
        <w:rPr>
          <w:rFonts w:ascii="Georgia" w:hAnsi="Georgia"/>
          <w:color w:val="1F1F1F"/>
        </w:rPr>
      </w:pPr>
    </w:p>
    <w:p w14:paraId="15ED00BB" w14:textId="11295A9A" w:rsidR="00557BA7" w:rsidRDefault="00557BA7" w:rsidP="000B22FF">
      <w:pPr>
        <w:rPr>
          <w:rFonts w:ascii="Georgia" w:hAnsi="Georgia"/>
          <w:color w:val="1F1F1F"/>
        </w:rPr>
      </w:pPr>
      <w:r>
        <w:rPr>
          <w:rFonts w:ascii="Georgia" w:hAnsi="Georgia"/>
          <w:color w:val="1F1F1F"/>
        </w:rPr>
        <w:t>Dataset Description</w:t>
      </w:r>
    </w:p>
    <w:p w14:paraId="732216A9" w14:textId="77777777" w:rsidR="00557BA7" w:rsidRPr="00557BA7" w:rsidRDefault="00557BA7" w:rsidP="00557BA7">
      <w:pPr>
        <w:rPr>
          <w:rFonts w:ascii="Georgia" w:hAnsi="Georgia"/>
          <w:color w:val="1F1F1F"/>
          <w:lang w:val="en-001"/>
        </w:rPr>
      </w:pPr>
      <w:r w:rsidRPr="00557BA7">
        <w:rPr>
          <w:rFonts w:ascii="Georgia" w:hAnsi="Georgia"/>
          <w:b/>
          <w:bCs/>
          <w:color w:val="1F1F1F"/>
          <w:lang w:val="en-001"/>
        </w:rPr>
        <w:t>Referencing:</w:t>
      </w:r>
    </w:p>
    <w:p w14:paraId="7DCC53FE" w14:textId="77777777" w:rsidR="00557BA7" w:rsidRPr="00557BA7" w:rsidRDefault="00000000" w:rsidP="00557BA7">
      <w:pPr>
        <w:numPr>
          <w:ilvl w:val="0"/>
          <w:numId w:val="4"/>
        </w:numPr>
        <w:rPr>
          <w:rFonts w:ascii="Georgia" w:hAnsi="Georgia"/>
          <w:color w:val="1F1F1F"/>
          <w:lang w:val="en-001"/>
        </w:rPr>
      </w:pPr>
      <w:hyperlink r:id="rId14" w:tgtFrame="_blank" w:history="1">
        <w:r w:rsidR="00557BA7" w:rsidRPr="00557BA7">
          <w:rPr>
            <w:rStyle w:val="Hyperlink"/>
            <w:rFonts w:ascii="Georgia" w:hAnsi="Georgia"/>
            <w:lang w:val="en-001"/>
          </w:rPr>
          <w:t>https://datahub.transportation.gov/stories/s/Next-Generation-Simulation-NGSIM-Open-Data/i5zb-xe34/</w:t>
        </w:r>
      </w:hyperlink>
      <w:r w:rsidR="00557BA7" w:rsidRPr="00557BA7">
        <w:rPr>
          <w:rFonts w:ascii="Georgia" w:hAnsi="Georgia"/>
          <w:color w:val="1F1F1F"/>
          <w:lang w:val="en-001"/>
        </w:rPr>
        <w:t> : This webpage by the U.S. Department of Transportation provides access to the NGSIM Open Data.</w:t>
      </w:r>
    </w:p>
    <w:p w14:paraId="22BF2831" w14:textId="77777777" w:rsidR="00557BA7" w:rsidRDefault="00557BA7" w:rsidP="00557BA7">
      <w:pPr>
        <w:numPr>
          <w:ilvl w:val="0"/>
          <w:numId w:val="4"/>
        </w:numPr>
        <w:rPr>
          <w:rFonts w:ascii="Georgia" w:hAnsi="Georgia"/>
          <w:color w:val="1F1F1F"/>
          <w:lang w:val="en-001"/>
        </w:rPr>
      </w:pPr>
      <w:r w:rsidRPr="00557BA7">
        <w:rPr>
          <w:rFonts w:ascii="Georgia" w:hAnsi="Georgia"/>
          <w:color w:val="1F1F1F"/>
          <w:lang w:val="en-001"/>
        </w:rPr>
        <w:t>Trajectory Prediction for Autonomous Vehicles in Urban Environments: </w:t>
      </w:r>
      <w:hyperlink r:id="rId15" w:tgtFrame="_blank" w:history="1">
        <w:r w:rsidRPr="00557BA7">
          <w:rPr>
            <w:rStyle w:val="Hyperlink"/>
            <w:rFonts w:ascii="Georgia" w:hAnsi="Georgia"/>
            <w:lang w:val="en-001"/>
          </w:rPr>
          <w:t>https://ieeexplore.ieee.org/document/10330483</w:t>
        </w:r>
      </w:hyperlink>
      <w:r w:rsidRPr="00557BA7">
        <w:rPr>
          <w:rFonts w:ascii="Georgia" w:hAnsi="Georgia"/>
          <w:color w:val="1F1F1F"/>
          <w:lang w:val="en-001"/>
        </w:rPr>
        <w:t> by Fu, J., Sun, Z., &amp; Li, H. (2019, September). This research paper uses the I-80 NGSIM dataset for trajectory prediction and mentions the data collection timeframe.</w:t>
      </w:r>
    </w:p>
    <w:p w14:paraId="4BA60CA3" w14:textId="77777777" w:rsidR="002F66FD" w:rsidRDefault="002F66FD" w:rsidP="002F66FD">
      <w:pPr>
        <w:rPr>
          <w:rFonts w:ascii="Georgia" w:hAnsi="Georgia"/>
          <w:color w:val="1F1F1F"/>
          <w:lang w:val="en-001"/>
        </w:rPr>
      </w:pPr>
    </w:p>
    <w:p w14:paraId="6F0BF104" w14:textId="77777777" w:rsidR="002F66FD" w:rsidRDefault="002F66FD" w:rsidP="002F66FD">
      <w:pPr>
        <w:rPr>
          <w:rFonts w:ascii="Georgia" w:hAnsi="Georgia"/>
          <w:color w:val="1F1F1F"/>
          <w:lang w:val="en-001"/>
        </w:rPr>
      </w:pPr>
    </w:p>
    <w:p w14:paraId="422B6306" w14:textId="20E10200" w:rsidR="002F66FD" w:rsidRDefault="002F66FD" w:rsidP="002F66FD">
      <w:pPr>
        <w:rPr>
          <w:rFonts w:ascii="Georgia" w:hAnsi="Georgia"/>
          <w:color w:val="1F1F1F"/>
          <w:lang w:val="en-001"/>
        </w:rPr>
      </w:pPr>
      <w:r>
        <w:rPr>
          <w:rFonts w:ascii="Georgia" w:hAnsi="Georgia"/>
          <w:color w:val="1F1F1F"/>
          <w:lang w:val="en-001"/>
        </w:rPr>
        <w:t>LSTM</w:t>
      </w:r>
    </w:p>
    <w:p w14:paraId="0331F500" w14:textId="4277F8C5" w:rsidR="002F66FD" w:rsidRDefault="002F66FD" w:rsidP="002F66FD">
      <w:pPr>
        <w:rPr>
          <w:rFonts w:ascii="Georgia" w:hAnsi="Georgia"/>
          <w:color w:val="1F1F1F"/>
          <w:lang w:val="en-001"/>
        </w:rPr>
      </w:pPr>
      <w:r w:rsidRPr="002F66FD">
        <w:rPr>
          <w:rFonts w:ascii="Georgia" w:hAnsi="Georgia"/>
          <w:noProof/>
          <w:color w:val="1F1F1F"/>
          <w:lang w:val="en-001"/>
        </w:rPr>
        <w:drawing>
          <wp:anchor distT="0" distB="0" distL="114300" distR="114300" simplePos="0" relativeHeight="251658240" behindDoc="0" locked="0" layoutInCell="1" allowOverlap="1" wp14:anchorId="67973CDE" wp14:editId="6B73DC30">
            <wp:simplePos x="0" y="0"/>
            <wp:positionH relativeFrom="column">
              <wp:posOffset>0</wp:posOffset>
            </wp:positionH>
            <wp:positionV relativeFrom="paragraph">
              <wp:posOffset>0</wp:posOffset>
            </wp:positionV>
            <wp:extent cx="4915586" cy="2324424"/>
            <wp:effectExtent l="0" t="0" r="0" b="0"/>
            <wp:wrapTopAndBottom/>
            <wp:docPr id="1568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1666" name=""/>
                    <pic:cNvPicPr/>
                  </pic:nvPicPr>
                  <pic:blipFill>
                    <a:blip r:embed="rId16">
                      <a:extLst>
                        <a:ext uri="{28A0092B-C50C-407E-A947-70E740481C1C}">
                          <a14:useLocalDpi xmlns:a14="http://schemas.microsoft.com/office/drawing/2010/main" val="0"/>
                        </a:ext>
                      </a:extLst>
                    </a:blip>
                    <a:stretch>
                      <a:fillRect/>
                    </a:stretch>
                  </pic:blipFill>
                  <pic:spPr>
                    <a:xfrm>
                      <a:off x="0" y="0"/>
                      <a:ext cx="4915586" cy="2324424"/>
                    </a:xfrm>
                    <a:prstGeom prst="rect">
                      <a:avLst/>
                    </a:prstGeom>
                  </pic:spPr>
                </pic:pic>
              </a:graphicData>
            </a:graphic>
          </wp:anchor>
        </w:drawing>
      </w:r>
      <w:r>
        <w:rPr>
          <w:rFonts w:ascii="Georgia" w:hAnsi="Georgia"/>
          <w:color w:val="1F1F1F"/>
          <w:lang w:val="en-001"/>
        </w:rPr>
        <w:t>fig: Long Short Term Memory Paper reference</w:t>
      </w:r>
    </w:p>
    <w:p w14:paraId="3FDFC291" w14:textId="0E28A3C0" w:rsidR="002F66FD" w:rsidRDefault="002F66FD" w:rsidP="002F66FD">
      <w:pPr>
        <w:rPr>
          <w:rFonts w:ascii="Georgia" w:hAnsi="Georgia"/>
          <w:color w:val="1F1F1F"/>
          <w:lang w:val="en-001"/>
        </w:rPr>
      </w:pPr>
      <w:r w:rsidRPr="002F66FD">
        <w:rPr>
          <w:rFonts w:ascii="Georgia" w:hAnsi="Georgia"/>
          <w:color w:val="1F1F1F"/>
          <w:lang w:val="en-001"/>
        </w:rPr>
        <w:t xml:space="preserve">Long short-term memory (LSTM) network is a recurrent neural network (RNN), aimed at dealing with the vanishing gradient problem present in traditional </w:t>
      </w:r>
      <w:proofErr w:type="spellStart"/>
      <w:r w:rsidRPr="002F66FD">
        <w:rPr>
          <w:rFonts w:ascii="Georgia" w:hAnsi="Georgia"/>
          <w:color w:val="1F1F1F"/>
          <w:lang w:val="en-001"/>
        </w:rPr>
        <w:t>RNNs</w:t>
      </w:r>
      <w:proofErr w:type="spellEnd"/>
      <w:r w:rsidRPr="002F66FD">
        <w:rPr>
          <w:rFonts w:ascii="Georgia" w:hAnsi="Georgia"/>
          <w:color w:val="1F1F1F"/>
          <w:lang w:val="en-001"/>
        </w:rPr>
        <w:t xml:space="preserve">. Its relative insensitivity to gap length is its advantage over other </w:t>
      </w:r>
      <w:proofErr w:type="spellStart"/>
      <w:r w:rsidRPr="002F66FD">
        <w:rPr>
          <w:rFonts w:ascii="Georgia" w:hAnsi="Georgia"/>
          <w:color w:val="1F1F1F"/>
          <w:lang w:val="en-001"/>
        </w:rPr>
        <w:t>RNNs</w:t>
      </w:r>
      <w:proofErr w:type="spellEnd"/>
      <w:r w:rsidRPr="002F66FD">
        <w:rPr>
          <w:rFonts w:ascii="Georgia" w:hAnsi="Georgia"/>
          <w:color w:val="1F1F1F"/>
          <w:lang w:val="en-001"/>
        </w:rPr>
        <w:t xml:space="preserve">, hidden Markov models and other </w:t>
      </w:r>
      <w:r w:rsidRPr="002F66FD">
        <w:rPr>
          <w:rFonts w:ascii="Georgia" w:hAnsi="Georgia"/>
          <w:color w:val="1F1F1F"/>
          <w:lang w:val="en-001"/>
        </w:rPr>
        <w:lastRenderedPageBreak/>
        <w:t>sequence learning methods. It aims to provide a short-term memory for RNN that can last thousands of timesteps, thus "long short-term memory".[</w:t>
      </w:r>
      <w:r>
        <w:rPr>
          <w:rFonts w:ascii="Georgia" w:hAnsi="Georgia"/>
          <w:color w:val="1F1F1F"/>
          <w:lang w:val="en-001"/>
        </w:rPr>
        <w:t>1]</w:t>
      </w:r>
    </w:p>
    <w:p w14:paraId="5E5B1BB8" w14:textId="5FEA5C2A" w:rsidR="002F66FD" w:rsidRDefault="002F66FD" w:rsidP="002F66FD">
      <w:pPr>
        <w:rPr>
          <w:rFonts w:ascii="Georgia" w:hAnsi="Georgia"/>
          <w:color w:val="1F1F1F"/>
          <w:lang w:val="en-001"/>
        </w:rPr>
      </w:pPr>
      <w:r w:rsidRPr="002F66FD">
        <w:rPr>
          <w:rFonts w:ascii="Georgia" w:hAnsi="Georgia"/>
          <w:color w:val="1F1F1F"/>
          <w:lang w:val="en-001"/>
        </w:rPr>
        <w:t>A common LSTM unit is composed of a cell, an input gate, an output gate[14] and a forget gate.[15] The cell remembers values over arbitrary time intervals and the three gates regulate the flow of information into and out of the cell. Forget gates decide what information to discard from a previous state by assigning a previous state, compared to a current input, a value between 0 and 1. A (rounded) value of 1 means to keep the information, and a value of 0 means to discard it. Input gates decide which pieces of new information to store in the current state, using the same system as forget gates. Output gates control which pieces of information in the current state to output by assigning a value from 0 to 1 to the information, considering the previous and current states. Selectively outputting relevant information from the current state allows the LSTM network to maintain useful, long-term dependencies to make predictions, both in current and future time-steps.</w:t>
      </w:r>
    </w:p>
    <w:p w14:paraId="32518B64" w14:textId="566E6C79" w:rsidR="000B51F1" w:rsidRDefault="00000000" w:rsidP="000B51F1">
      <w:pPr>
        <w:pStyle w:val="ListParagraph"/>
        <w:numPr>
          <w:ilvl w:val="0"/>
          <w:numId w:val="5"/>
        </w:numPr>
        <w:rPr>
          <w:rFonts w:ascii="Georgia" w:hAnsi="Georgia"/>
          <w:color w:val="1F1F1F"/>
          <w:lang w:val="en-001"/>
        </w:rPr>
      </w:pPr>
      <w:hyperlink r:id="rId17" w:anchor=":~:text=March%202022),and%20other%20sequence%20learning%20methods" w:history="1">
        <w:r w:rsidR="00026D62" w:rsidRPr="00C12E23">
          <w:rPr>
            <w:rStyle w:val="Hyperlink"/>
            <w:rFonts w:ascii="Georgia" w:hAnsi="Georgia"/>
            <w:lang w:val="en-001"/>
          </w:rPr>
          <w:t>https://en.wikipedia.org/wiki/Long_short-term_memory#:~:text=March%202022),and%20other%20sequence%20learning%20methods</w:t>
        </w:r>
      </w:hyperlink>
      <w:r w:rsidR="000B51F1" w:rsidRPr="000B51F1">
        <w:rPr>
          <w:rFonts w:ascii="Georgia" w:hAnsi="Georgia"/>
          <w:color w:val="1F1F1F"/>
          <w:lang w:val="en-001"/>
        </w:rPr>
        <w:t>.</w:t>
      </w:r>
    </w:p>
    <w:p w14:paraId="2EFE84F5" w14:textId="453DCA5E" w:rsidR="00026D62" w:rsidRDefault="00026D62" w:rsidP="00026D62">
      <w:pPr>
        <w:ind w:left="360"/>
        <w:rPr>
          <w:rFonts w:ascii="Georgia" w:hAnsi="Georgia"/>
          <w:color w:val="1F1F1F"/>
          <w:lang w:val="en-001"/>
        </w:rPr>
      </w:pPr>
      <w:r>
        <w:rPr>
          <w:rFonts w:ascii="Georgia" w:hAnsi="Georgia"/>
          <w:color w:val="1F1F1F"/>
          <w:lang w:val="en-001"/>
        </w:rPr>
        <w:t>14 &amp; 15 reference available on the above link Wikipedia reference</w:t>
      </w:r>
    </w:p>
    <w:p w14:paraId="18B7618F" w14:textId="77777777" w:rsidR="00A449CF" w:rsidRDefault="00A449CF" w:rsidP="00026D62">
      <w:pPr>
        <w:ind w:left="360"/>
        <w:rPr>
          <w:rFonts w:ascii="Georgia" w:hAnsi="Georgia"/>
          <w:color w:val="1F1F1F"/>
          <w:lang w:val="en-001"/>
        </w:rPr>
      </w:pPr>
    </w:p>
    <w:p w14:paraId="35961881" w14:textId="2A1C7F3D" w:rsidR="00A449CF" w:rsidRDefault="00A449CF" w:rsidP="00026D62">
      <w:pPr>
        <w:ind w:left="360"/>
        <w:rPr>
          <w:rFonts w:ascii="Georgia" w:hAnsi="Georgia"/>
          <w:color w:val="1F1F1F"/>
          <w:lang w:val="en-001"/>
        </w:rPr>
      </w:pPr>
      <w:r>
        <w:rPr>
          <w:rFonts w:ascii="Georgia" w:hAnsi="Georgia"/>
          <w:color w:val="1F1F1F"/>
          <w:lang w:val="en-001"/>
        </w:rPr>
        <w:t>GRU</w:t>
      </w:r>
    </w:p>
    <w:p w14:paraId="326F7134" w14:textId="77777777" w:rsidR="00A449CF" w:rsidRPr="00A449CF" w:rsidRDefault="00A449CF" w:rsidP="00A449CF">
      <w:pPr>
        <w:ind w:left="360"/>
        <w:rPr>
          <w:rFonts w:ascii="Georgia" w:hAnsi="Georgia"/>
          <w:color w:val="1F1F1F"/>
          <w:lang w:val="en-001"/>
        </w:rPr>
      </w:pPr>
      <w:r w:rsidRPr="00A449CF">
        <w:rPr>
          <w:rFonts w:ascii="Georgia" w:hAnsi="Georgia"/>
          <w:color w:val="1F1F1F"/>
          <w:lang w:val="en-001"/>
        </w:rPr>
        <w:t>References:</w:t>
      </w:r>
    </w:p>
    <w:p w14:paraId="7856B061" w14:textId="77777777" w:rsidR="00A449CF" w:rsidRPr="00A449CF" w:rsidRDefault="00A449CF" w:rsidP="00A449CF">
      <w:pPr>
        <w:ind w:left="360"/>
        <w:rPr>
          <w:rFonts w:ascii="Georgia" w:hAnsi="Georgia"/>
          <w:color w:val="1F1F1F"/>
          <w:lang w:val="en-001"/>
        </w:rPr>
      </w:pPr>
    </w:p>
    <w:p w14:paraId="30B966EF" w14:textId="2C67DB44" w:rsidR="00A449CF" w:rsidRPr="00A449CF" w:rsidRDefault="00A449CF" w:rsidP="00A449CF">
      <w:pPr>
        <w:pStyle w:val="ListParagraph"/>
        <w:numPr>
          <w:ilvl w:val="0"/>
          <w:numId w:val="6"/>
        </w:numPr>
        <w:rPr>
          <w:rFonts w:ascii="Georgia" w:hAnsi="Georgia"/>
          <w:color w:val="1F1F1F"/>
          <w:lang w:val="en-001"/>
        </w:rPr>
      </w:pPr>
      <w:proofErr w:type="spellStart"/>
      <w:r w:rsidRPr="00A449CF">
        <w:rPr>
          <w:rFonts w:ascii="Georgia" w:hAnsi="Georgia"/>
          <w:color w:val="1F1F1F"/>
          <w:lang w:val="en-001"/>
        </w:rPr>
        <w:t>Kyunghyun</w:t>
      </w:r>
      <w:proofErr w:type="spellEnd"/>
      <w:r w:rsidRPr="00A449CF">
        <w:rPr>
          <w:rFonts w:ascii="Georgia" w:hAnsi="Georgia"/>
          <w:color w:val="1F1F1F"/>
          <w:lang w:val="en-001"/>
        </w:rPr>
        <w:t xml:space="preserve"> Cho, Bart van </w:t>
      </w:r>
      <w:proofErr w:type="spellStart"/>
      <w:r w:rsidRPr="00A449CF">
        <w:rPr>
          <w:rFonts w:ascii="Georgia" w:hAnsi="Georgia"/>
          <w:color w:val="1F1F1F"/>
          <w:lang w:val="en-001"/>
        </w:rPr>
        <w:t>Merriënboer</w:t>
      </w:r>
      <w:proofErr w:type="spellEnd"/>
      <w:r w:rsidRPr="00A449CF">
        <w:rPr>
          <w:rFonts w:ascii="Georgia" w:hAnsi="Georgia"/>
          <w:color w:val="1F1F1F"/>
          <w:lang w:val="en-001"/>
        </w:rPr>
        <w:t xml:space="preserve">, Caglar </w:t>
      </w:r>
      <w:proofErr w:type="spellStart"/>
      <w:r w:rsidRPr="00A449CF">
        <w:rPr>
          <w:rFonts w:ascii="Georgia" w:hAnsi="Georgia"/>
          <w:color w:val="1F1F1F"/>
          <w:lang w:val="en-001"/>
        </w:rPr>
        <w:t>Gulcehre</w:t>
      </w:r>
      <w:proofErr w:type="spellEnd"/>
      <w:r w:rsidRPr="00A449CF">
        <w:rPr>
          <w:rFonts w:ascii="Georgia" w:hAnsi="Georgia"/>
          <w:color w:val="1F1F1F"/>
          <w:lang w:val="en-001"/>
        </w:rPr>
        <w:t xml:space="preserve">, Dzmitry </w:t>
      </w:r>
      <w:proofErr w:type="spellStart"/>
      <w:r w:rsidRPr="00A449CF">
        <w:rPr>
          <w:rFonts w:ascii="Georgia" w:hAnsi="Georgia"/>
          <w:color w:val="1F1F1F"/>
          <w:lang w:val="en-001"/>
        </w:rPr>
        <w:t>Bahdanau</w:t>
      </w:r>
      <w:proofErr w:type="spellEnd"/>
      <w:r w:rsidRPr="00A449CF">
        <w:rPr>
          <w:rFonts w:ascii="Georgia" w:hAnsi="Georgia"/>
          <w:color w:val="1F1F1F"/>
          <w:lang w:val="en-001"/>
        </w:rPr>
        <w:t xml:space="preserve">, Yoshua Bengio, On the Properties of Neural Machine Translation: Encoder–Decoder Architectures with Attention, </w:t>
      </w:r>
      <w:proofErr w:type="spellStart"/>
      <w:r w:rsidRPr="00A449CF">
        <w:rPr>
          <w:rFonts w:ascii="Georgia" w:hAnsi="Georgia"/>
          <w:color w:val="1F1F1F"/>
          <w:lang w:val="en-001"/>
        </w:rPr>
        <w:t>arXiv</w:t>
      </w:r>
      <w:proofErr w:type="spellEnd"/>
      <w:r w:rsidRPr="00A449CF">
        <w:rPr>
          <w:rFonts w:ascii="Georgia" w:hAnsi="Georgia"/>
          <w:color w:val="1F1F1F"/>
          <w:lang w:val="en-001"/>
        </w:rPr>
        <w:t xml:space="preserve"> preprint arXiv:1406.1078 (2014), https://arxiv.org/abs/1409.1259.</w:t>
      </w:r>
    </w:p>
    <w:p w14:paraId="0DFE0FE9" w14:textId="4F214903" w:rsidR="00A449CF" w:rsidRDefault="00632DD8" w:rsidP="00A449CF">
      <w:pPr>
        <w:pStyle w:val="ListParagraph"/>
        <w:numPr>
          <w:ilvl w:val="0"/>
          <w:numId w:val="6"/>
        </w:numPr>
        <w:rPr>
          <w:rFonts w:ascii="Georgia" w:hAnsi="Georgia"/>
          <w:color w:val="1F1F1F"/>
          <w:lang w:val="en-001"/>
        </w:rPr>
      </w:pPr>
      <w:hyperlink r:id="rId18" w:history="1">
        <w:r w:rsidRPr="00E02C33">
          <w:rPr>
            <w:rStyle w:val="Hyperlink"/>
            <w:rFonts w:ascii="Georgia" w:hAnsi="Georgia"/>
            <w:lang w:val="en-001"/>
          </w:rPr>
          <w:t>https://towardsdatascience.com/understanding-gru-networks-2ef37df6c9be</w:t>
        </w:r>
      </w:hyperlink>
    </w:p>
    <w:p w14:paraId="747BF96F" w14:textId="77777777" w:rsidR="00632DD8" w:rsidRDefault="00632DD8" w:rsidP="00632DD8">
      <w:pPr>
        <w:rPr>
          <w:rFonts w:ascii="Georgia" w:hAnsi="Georgia"/>
          <w:color w:val="1F1F1F"/>
          <w:lang w:val="en-001"/>
        </w:rPr>
      </w:pPr>
    </w:p>
    <w:p w14:paraId="290B5D41" w14:textId="612C4345" w:rsidR="00632DD8" w:rsidRDefault="00632DD8" w:rsidP="00632DD8">
      <w:pPr>
        <w:rPr>
          <w:rFonts w:ascii="Georgia" w:hAnsi="Georgia"/>
          <w:color w:val="1F1F1F"/>
          <w:lang w:val="en-001"/>
        </w:rPr>
      </w:pPr>
      <w:r>
        <w:rPr>
          <w:rFonts w:ascii="Georgia" w:hAnsi="Georgia"/>
          <w:color w:val="1F1F1F"/>
          <w:lang w:val="en-001"/>
        </w:rPr>
        <w:t>CNN</w:t>
      </w:r>
    </w:p>
    <w:p w14:paraId="3EB140EF" w14:textId="77777777" w:rsidR="00632DD8" w:rsidRPr="00632DD8" w:rsidRDefault="00632DD8" w:rsidP="00632DD8">
      <w:pPr>
        <w:rPr>
          <w:rFonts w:ascii="Georgia" w:hAnsi="Georgia"/>
          <w:color w:val="1F1F1F"/>
          <w:lang w:val="en-001"/>
        </w:rPr>
      </w:pPr>
      <w:r w:rsidRPr="00632DD8">
        <w:rPr>
          <w:rFonts w:ascii="Georgia" w:hAnsi="Georgia"/>
          <w:b/>
          <w:bCs/>
          <w:color w:val="1F1F1F"/>
          <w:lang w:val="en-001"/>
        </w:rPr>
        <w:t>References:</w:t>
      </w:r>
    </w:p>
    <w:p w14:paraId="3114DB4E"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Yann LeCun, Yoshua Bengio, and Geoffrey Hinton. Deep learning. Nature, 521(7553):436-444, 2015. </w:t>
      </w:r>
      <w:hyperlink r:id="rId19" w:tgtFrame="_blank" w:history="1">
        <w:r w:rsidRPr="00632DD8">
          <w:rPr>
            <w:rStyle w:val="Hyperlink"/>
            <w:rFonts w:ascii="Georgia" w:hAnsi="Georgia"/>
            <w:lang w:val="en-001"/>
          </w:rPr>
          <w:t>https://www.nature.com/articles/nature14539</w:t>
        </w:r>
      </w:hyperlink>
    </w:p>
    <w:p w14:paraId="082E07F2"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Ian Goodfellow, Yoshua Bengio, and Aaron Courville. Deep Learning. MIT Press, 2016. </w:t>
      </w:r>
      <w:hyperlink r:id="rId20" w:tgtFrame="_blank" w:history="1">
        <w:r w:rsidRPr="00632DD8">
          <w:rPr>
            <w:rStyle w:val="Hyperlink"/>
            <w:rFonts w:ascii="Georgia" w:hAnsi="Georgia"/>
            <w:lang w:val="en-001"/>
          </w:rPr>
          <w:t>https://mitpress.mit.edu/9780262035613/deep-learning/</w:t>
        </w:r>
      </w:hyperlink>
    </w:p>
    <w:p w14:paraId="68F382C3" w14:textId="77777777" w:rsidR="00632DD8" w:rsidRPr="00632DD8" w:rsidRDefault="00632DD8" w:rsidP="00632DD8">
      <w:pPr>
        <w:numPr>
          <w:ilvl w:val="0"/>
          <w:numId w:val="7"/>
        </w:numPr>
        <w:rPr>
          <w:rFonts w:ascii="Georgia" w:hAnsi="Georgia"/>
          <w:color w:val="1F1F1F"/>
          <w:lang w:val="en-001"/>
        </w:rPr>
      </w:pPr>
      <w:hyperlink r:id="rId21" w:tgtFrame="_blank" w:history="1">
        <w:r w:rsidRPr="00632DD8">
          <w:rPr>
            <w:rStyle w:val="Hyperlink"/>
            <w:rFonts w:ascii="Georgia" w:hAnsi="Georgia"/>
            <w:lang w:val="en-001"/>
          </w:rPr>
          <w:t>https://towardsdatascience.com/covolutional-neural-network-cb0883dd6529</w:t>
        </w:r>
      </w:hyperlink>
    </w:p>
    <w:p w14:paraId="5E82AC72" w14:textId="77777777" w:rsidR="00632DD8" w:rsidRPr="00632DD8" w:rsidRDefault="00632DD8" w:rsidP="00632DD8">
      <w:pPr>
        <w:rPr>
          <w:rFonts w:ascii="Georgia" w:hAnsi="Georgia"/>
          <w:color w:val="1F1F1F"/>
          <w:lang w:val="en-001"/>
        </w:rPr>
      </w:pPr>
    </w:p>
    <w:p w14:paraId="6CE65D89" w14:textId="77777777" w:rsidR="00557BA7" w:rsidRDefault="00557BA7" w:rsidP="000B22FF">
      <w:pPr>
        <w:rPr>
          <w:rFonts w:ascii="Georgia" w:hAnsi="Georgia"/>
          <w:color w:val="1F1F1F"/>
        </w:rPr>
      </w:pPr>
    </w:p>
    <w:p w14:paraId="3690CA17" w14:textId="77777777" w:rsidR="00096E87" w:rsidRDefault="00096E87" w:rsidP="000B22FF">
      <w:pPr>
        <w:rPr>
          <w:rFonts w:ascii="Georgia" w:hAnsi="Georgia"/>
          <w:color w:val="1F1F1F"/>
        </w:rPr>
      </w:pPr>
    </w:p>
    <w:p w14:paraId="632F63FB" w14:textId="77777777" w:rsidR="00096E87" w:rsidRPr="00096E87" w:rsidRDefault="00096E87" w:rsidP="00096E87">
      <w:pPr>
        <w:rPr>
          <w:rFonts w:ascii="Georgia" w:hAnsi="Georgia"/>
          <w:color w:val="1F1F1F"/>
        </w:rPr>
      </w:pPr>
      <w:r w:rsidRPr="00096E87">
        <w:rPr>
          <w:rFonts w:ascii="Georgia" w:hAnsi="Georgia"/>
          <w:color w:val="1F1F1F"/>
        </w:rPr>
        <w:lastRenderedPageBreak/>
        <w:t xml:space="preserve">In this segment, we present our imaginative arrange engineering outlined for direction expectation inside thick and heterogeneous activity situations. In the setting of heterogeneous activity, the objective is to estimate directions, speaking to transient groupings of spatial arranges for a given street specialist. Foreseeing worldly arrangements requests models able of capturing transient conditions inside information, such as Gated Repetitive Units (GRUs). Be that as it may, conventional GRUs work autonomously for each street operator, falling flat to learn conditions or connections among heterogeneous specialists. To address this confinement, we coordinated Convolutional Neural Systems (CNNs) to distinguish intelligent among diverse street specialists. By combining CNNs with GRUs, our engineering learns locally noteworthy connections, both spatially and transiently, among heterogeneous street operators. The design comprises three key </w:t>
      </w:r>
      <w:proofErr w:type="spellStart"/>
      <w:r w:rsidRPr="00096E87">
        <w:rPr>
          <w:rFonts w:ascii="Georgia" w:hAnsi="Georgia"/>
          <w:color w:val="1F1F1F"/>
        </w:rPr>
        <w:t>layers</w:t>
      </w:r>
      <w:proofErr w:type="spellEnd"/>
      <w:r w:rsidRPr="00096E87">
        <w:rPr>
          <w:rFonts w:ascii="Georgia" w:hAnsi="Georgia"/>
          <w:color w:val="1F1F1F"/>
        </w:rPr>
        <w:t>:</w:t>
      </w:r>
    </w:p>
    <w:p w14:paraId="2C1B7AB0" w14:textId="77777777" w:rsidR="00096E87" w:rsidRPr="00096E87" w:rsidRDefault="00096E87" w:rsidP="00096E87">
      <w:pPr>
        <w:rPr>
          <w:rFonts w:ascii="Georgia" w:hAnsi="Georgia"/>
          <w:color w:val="1F1F1F"/>
        </w:rPr>
      </w:pPr>
    </w:p>
    <w:p w14:paraId="353E77FF" w14:textId="77777777" w:rsidR="00096E87" w:rsidRPr="00096E87" w:rsidRDefault="00096E87" w:rsidP="00096E87">
      <w:pPr>
        <w:rPr>
          <w:rFonts w:ascii="Georgia" w:hAnsi="Georgia"/>
          <w:color w:val="1F1F1F"/>
        </w:rPr>
      </w:pPr>
      <w:r w:rsidRPr="00096E87">
        <w:rPr>
          <w:rFonts w:ascii="Georgia" w:hAnsi="Georgia"/>
          <w:color w:val="1F1F1F"/>
        </w:rPr>
        <w:t>1. Skyline Layer: Forms embeddings of operators inside the "skyline" or semi-elliptical locale ahead of the target specialist. These embeddings navigate Completely Associated (FC) layers and GRUs to build a "skyline map".</w:t>
      </w:r>
    </w:p>
    <w:p w14:paraId="388E451C" w14:textId="77777777" w:rsidR="00096E87" w:rsidRPr="00096E87" w:rsidRDefault="00096E87" w:rsidP="00096E87">
      <w:pPr>
        <w:rPr>
          <w:rFonts w:ascii="Georgia" w:hAnsi="Georgia"/>
          <w:color w:val="1F1F1F"/>
        </w:rPr>
      </w:pPr>
    </w:p>
    <w:p w14:paraId="44FE03FC" w14:textId="77777777" w:rsidR="00096E87" w:rsidRPr="00096E87" w:rsidRDefault="00096E87" w:rsidP="00096E87">
      <w:pPr>
        <w:rPr>
          <w:rFonts w:ascii="Georgia" w:hAnsi="Georgia"/>
          <w:color w:val="1F1F1F"/>
        </w:rPr>
      </w:pPr>
      <w:r w:rsidRPr="00096E87">
        <w:rPr>
          <w:rFonts w:ascii="Georgia" w:hAnsi="Georgia"/>
          <w:color w:val="1F1F1F"/>
        </w:rPr>
        <w:t>2. Neighbor Layer: Handles embeddings of specialists neighboring the target specialist. Comparative to the skyline layer, these embeddings pass through FC layers and GRUs to shape a "neighbor map".</w:t>
      </w:r>
    </w:p>
    <w:p w14:paraId="5FEBB8F4" w14:textId="77777777" w:rsidR="00096E87" w:rsidRPr="00096E87" w:rsidRDefault="00096E87" w:rsidP="00096E87">
      <w:pPr>
        <w:rPr>
          <w:rFonts w:ascii="Georgia" w:hAnsi="Georgia"/>
          <w:color w:val="1F1F1F"/>
        </w:rPr>
      </w:pPr>
    </w:p>
    <w:p w14:paraId="712363BF" w14:textId="77777777" w:rsidR="00096E87" w:rsidRPr="00096E87" w:rsidRDefault="00096E87" w:rsidP="00096E87">
      <w:pPr>
        <w:rPr>
          <w:rFonts w:ascii="Georgia" w:hAnsi="Georgia"/>
          <w:color w:val="1F1F1F"/>
        </w:rPr>
      </w:pPr>
      <w:r w:rsidRPr="00096E87">
        <w:rPr>
          <w:rFonts w:ascii="Georgia" w:hAnsi="Georgia"/>
          <w:color w:val="1F1F1F"/>
        </w:rPr>
        <w:t>3. Sense of self Layer: Centers on the inserting of the target specialist itself, preparing it through FC and GRU layers.</w:t>
      </w:r>
    </w:p>
    <w:p w14:paraId="75B680EF" w14:textId="77777777" w:rsidR="00096E87" w:rsidRPr="00096E87" w:rsidRDefault="00096E87" w:rsidP="00096E87">
      <w:pPr>
        <w:rPr>
          <w:rFonts w:ascii="Georgia" w:hAnsi="Georgia"/>
          <w:color w:val="1F1F1F"/>
        </w:rPr>
      </w:pPr>
    </w:p>
    <w:p w14:paraId="4E3DE427" w14:textId="757D360D" w:rsidR="00096E87" w:rsidRDefault="00096E87" w:rsidP="00096E87">
      <w:pPr>
        <w:rPr>
          <w:rFonts w:ascii="Georgia" w:hAnsi="Georgia"/>
          <w:color w:val="1F1F1F"/>
        </w:rPr>
      </w:pPr>
      <w:r w:rsidRPr="00096E87">
        <w:rPr>
          <w:rFonts w:ascii="Georgia" w:hAnsi="Georgia"/>
          <w:color w:val="1F1F1F"/>
        </w:rPr>
        <w:t>This coordinates approach empowers our demonstrate to viably capture complicated intuitive and conditions among heterogeneous street specialists, in this manner upgrading direction expectation exactness in complex activity scenarios.</w:t>
      </w:r>
    </w:p>
    <w:p w14:paraId="7C9341FB" w14:textId="77777777" w:rsidR="00603132" w:rsidRDefault="00603132" w:rsidP="00096E87">
      <w:pPr>
        <w:rPr>
          <w:rFonts w:ascii="Georgia" w:hAnsi="Georgia"/>
          <w:color w:val="1F1F1F"/>
        </w:rPr>
      </w:pPr>
    </w:p>
    <w:p w14:paraId="02AA5945" w14:textId="1DD8C621" w:rsidR="00603132" w:rsidRDefault="00603132" w:rsidP="00096E87">
      <w:pPr>
        <w:rPr>
          <w:rFonts w:ascii="Georgia" w:hAnsi="Georgia"/>
          <w:color w:val="1F1F1F"/>
        </w:rPr>
      </w:pPr>
      <w:r>
        <w:rPr>
          <w:rFonts w:ascii="Georgia" w:hAnsi="Georgia"/>
          <w:color w:val="1F1F1F"/>
        </w:rPr>
        <w:t>Summery</w:t>
      </w:r>
    </w:p>
    <w:p w14:paraId="20359736" w14:textId="77777777" w:rsidR="00603132" w:rsidRDefault="00603132" w:rsidP="00603132">
      <w:pPr>
        <w:pStyle w:val="myStyle"/>
        <w:rPr>
          <w:b/>
          <w:bCs/>
          <w:sz w:val="24"/>
          <w:szCs w:val="24"/>
        </w:rPr>
      </w:pPr>
      <w:r w:rsidRPr="0009727E">
        <w:rPr>
          <w:b/>
          <w:bCs/>
          <w:sz w:val="24"/>
          <w:szCs w:val="24"/>
        </w:rPr>
        <w:t>In prior research endeavors, diverse methodologies were employed to forecast trajectories of road agents navigating dense traffic regions. However, average displacement errors exceeding 5 were commonly observed. In our study, we successfully reduced this metric to 2.86, signifying a notable improvement. Additionally, we minimized the final displacement error to 5.19. Our approach centered on a GRU-CNN model, integrating factors such as driver behavior, intention, and turning radius. This model was tailored for mixed traffic environments, accommodating various road agents. Overall, our developed model effectively addresses trajectory prediction challenges in complex traffic scenarios, yielding significant reductions in displacement errors.</w:t>
      </w:r>
    </w:p>
    <w:p w14:paraId="06FE56EF" w14:textId="7B116DB0" w:rsidR="005B009B" w:rsidRDefault="005B009B">
      <w:pPr>
        <w:rPr>
          <w:rFonts w:ascii="Georgia" w:hAnsi="Georgia"/>
          <w:color w:val="1F1F1F"/>
        </w:rPr>
      </w:pPr>
      <w:r>
        <w:rPr>
          <w:rFonts w:ascii="Georgia" w:hAnsi="Georgia"/>
          <w:color w:val="1F1F1F"/>
        </w:rPr>
        <w:br w:type="page"/>
      </w:r>
    </w:p>
    <w:p w14:paraId="5C2B6F33" w14:textId="77777777" w:rsidR="005B009B" w:rsidRPr="005B009B" w:rsidRDefault="005B009B" w:rsidP="005B009B">
      <w:pPr>
        <w:rPr>
          <w:rFonts w:ascii="Georgia" w:hAnsi="Georgia"/>
          <w:color w:val="1F1F1F"/>
        </w:rPr>
      </w:pPr>
      <w:r w:rsidRPr="005B009B">
        <w:rPr>
          <w:rFonts w:ascii="Georgia" w:hAnsi="Georgia"/>
          <w:color w:val="1F1F1F"/>
        </w:rPr>
        <w:lastRenderedPageBreak/>
        <w:t>\begin{figure}[!</w:t>
      </w:r>
      <w:proofErr w:type="spellStart"/>
      <w:r w:rsidRPr="005B009B">
        <w:rPr>
          <w:rFonts w:ascii="Georgia" w:hAnsi="Georgia"/>
          <w:color w:val="1F1F1F"/>
        </w:rPr>
        <w:t>ht</w:t>
      </w:r>
      <w:proofErr w:type="spellEnd"/>
      <w:r w:rsidRPr="005B009B">
        <w:rPr>
          <w:rFonts w:ascii="Georgia" w:hAnsi="Georgia"/>
          <w:color w:val="1F1F1F"/>
        </w:rPr>
        <w:t>]</w:t>
      </w:r>
    </w:p>
    <w:p w14:paraId="0955D8A3"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\centerline</w:t>
      </w:r>
    </w:p>
    <w:p w14:paraId="3D64A847"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w:t>
      </w:r>
      <w:proofErr w:type="spellStart"/>
      <w:r w:rsidRPr="005B009B">
        <w:rPr>
          <w:rFonts w:ascii="Georgia" w:hAnsi="Georgia"/>
          <w:color w:val="1F1F1F"/>
        </w:rPr>
        <w:t>includegraphics</w:t>
      </w:r>
      <w:proofErr w:type="spellEnd"/>
      <w:r w:rsidRPr="005B009B">
        <w:rPr>
          <w:rFonts w:ascii="Georgia" w:hAnsi="Georgia"/>
          <w:color w:val="1F1F1F"/>
        </w:rPr>
        <w:t>[scale=0.65]{Figure/First.png}}</w:t>
      </w:r>
    </w:p>
    <w:p w14:paraId="59987512"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\caption{The flights monitored by Flightradar24 in 2020 showed a difference compared to the recorded in 2019. \cite{a6}}</w:t>
      </w:r>
    </w:p>
    <w:p w14:paraId="48D0261B" w14:textId="77777777" w:rsidR="005B009B" w:rsidRPr="005B009B" w:rsidRDefault="005B009B" w:rsidP="005B009B">
      <w:pPr>
        <w:rPr>
          <w:rFonts w:ascii="Georgia" w:hAnsi="Georgia"/>
          <w:color w:val="1F1F1F"/>
        </w:rPr>
      </w:pPr>
      <w:r w:rsidRPr="005B009B">
        <w:rPr>
          <w:rFonts w:ascii="Georgia" w:hAnsi="Georgia"/>
          <w:color w:val="1F1F1F"/>
        </w:rPr>
        <w:t xml:space="preserve">    </w:t>
      </w:r>
      <w:r w:rsidRPr="005B009B">
        <w:rPr>
          <w:rFonts w:ascii="Georgia" w:hAnsi="Georgia"/>
          <w:color w:val="1F1F1F"/>
        </w:rPr>
        <w:tab/>
        <w:t>\label{m1}</w:t>
      </w:r>
    </w:p>
    <w:p w14:paraId="66A9E714" w14:textId="7452A93B" w:rsidR="00603132" w:rsidRPr="000B22FF" w:rsidRDefault="005B009B" w:rsidP="005B009B">
      <w:pPr>
        <w:rPr>
          <w:rFonts w:ascii="Georgia" w:hAnsi="Georgia"/>
          <w:color w:val="1F1F1F"/>
        </w:rPr>
      </w:pPr>
      <w:r w:rsidRPr="005B009B">
        <w:rPr>
          <w:rFonts w:ascii="Georgia" w:hAnsi="Georgia"/>
          <w:color w:val="1F1F1F"/>
        </w:rPr>
        <w:t xml:space="preserve">    \end{figure}</w:t>
      </w:r>
    </w:p>
    <w:sectPr w:rsidR="00603132"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2A9C69B4"/>
    <w:multiLevelType w:val="hybridMultilevel"/>
    <w:tmpl w:val="B1F0BEE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2812EFF"/>
    <w:multiLevelType w:val="multilevel"/>
    <w:tmpl w:val="454E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3B86"/>
    <w:multiLevelType w:val="hybridMultilevel"/>
    <w:tmpl w:val="BDD063D2"/>
    <w:lvl w:ilvl="0" w:tplc="A386F886">
      <w:start w:val="4"/>
      <w:numFmt w:val="decimal"/>
      <w:lvlText w:val="%1."/>
      <w:lvlJc w:val="left"/>
      <w:pPr>
        <w:ind w:left="786" w:hanging="360"/>
      </w:pPr>
      <w:rPr>
        <w:rFonts w:hint="default"/>
      </w:rPr>
    </w:lvl>
    <w:lvl w:ilvl="1" w:tplc="24000019" w:tentative="1">
      <w:start w:val="1"/>
      <w:numFmt w:val="lowerLetter"/>
      <w:lvlText w:val="%2."/>
      <w:lvlJc w:val="left"/>
      <w:pPr>
        <w:ind w:left="1506" w:hanging="360"/>
      </w:pPr>
    </w:lvl>
    <w:lvl w:ilvl="2" w:tplc="2400001B" w:tentative="1">
      <w:start w:val="1"/>
      <w:numFmt w:val="lowerRoman"/>
      <w:lvlText w:val="%3."/>
      <w:lvlJc w:val="right"/>
      <w:pPr>
        <w:ind w:left="2226" w:hanging="180"/>
      </w:pPr>
    </w:lvl>
    <w:lvl w:ilvl="3" w:tplc="2400000F" w:tentative="1">
      <w:start w:val="1"/>
      <w:numFmt w:val="decimal"/>
      <w:lvlText w:val="%4."/>
      <w:lvlJc w:val="left"/>
      <w:pPr>
        <w:ind w:left="2946" w:hanging="360"/>
      </w:pPr>
    </w:lvl>
    <w:lvl w:ilvl="4" w:tplc="24000019" w:tentative="1">
      <w:start w:val="1"/>
      <w:numFmt w:val="lowerLetter"/>
      <w:lvlText w:val="%5."/>
      <w:lvlJc w:val="left"/>
      <w:pPr>
        <w:ind w:left="3666" w:hanging="360"/>
      </w:pPr>
    </w:lvl>
    <w:lvl w:ilvl="5" w:tplc="2400001B" w:tentative="1">
      <w:start w:val="1"/>
      <w:numFmt w:val="lowerRoman"/>
      <w:lvlText w:val="%6."/>
      <w:lvlJc w:val="right"/>
      <w:pPr>
        <w:ind w:left="4386" w:hanging="180"/>
      </w:pPr>
    </w:lvl>
    <w:lvl w:ilvl="6" w:tplc="2400000F" w:tentative="1">
      <w:start w:val="1"/>
      <w:numFmt w:val="decimal"/>
      <w:lvlText w:val="%7."/>
      <w:lvlJc w:val="left"/>
      <w:pPr>
        <w:ind w:left="5106" w:hanging="360"/>
      </w:pPr>
    </w:lvl>
    <w:lvl w:ilvl="7" w:tplc="24000019" w:tentative="1">
      <w:start w:val="1"/>
      <w:numFmt w:val="lowerLetter"/>
      <w:lvlText w:val="%8."/>
      <w:lvlJc w:val="left"/>
      <w:pPr>
        <w:ind w:left="5826" w:hanging="360"/>
      </w:pPr>
    </w:lvl>
    <w:lvl w:ilvl="8" w:tplc="2400001B" w:tentative="1">
      <w:start w:val="1"/>
      <w:numFmt w:val="lowerRoman"/>
      <w:lvlText w:val="%9."/>
      <w:lvlJc w:val="right"/>
      <w:pPr>
        <w:ind w:left="6546" w:hanging="180"/>
      </w:pPr>
    </w:lvl>
  </w:abstractNum>
  <w:abstractNum w:abstractNumId="5" w15:restartNumberingAfterBreak="0">
    <w:nsid w:val="495C212B"/>
    <w:multiLevelType w:val="multilevel"/>
    <w:tmpl w:val="56A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00A6C"/>
    <w:multiLevelType w:val="hybridMultilevel"/>
    <w:tmpl w:val="A38C9E58"/>
    <w:lvl w:ilvl="0" w:tplc="2400000F">
      <w:start w:val="1"/>
      <w:numFmt w:val="decimal"/>
      <w:lvlText w:val="%1."/>
      <w:lvlJc w:val="left"/>
      <w:pPr>
        <w:ind w:left="786" w:hanging="360"/>
      </w:pPr>
      <w:rPr>
        <w:rFonts w:hint="default"/>
      </w:rPr>
    </w:lvl>
    <w:lvl w:ilvl="1" w:tplc="24000019" w:tentative="1">
      <w:start w:val="1"/>
      <w:numFmt w:val="lowerLetter"/>
      <w:lvlText w:val="%2."/>
      <w:lvlJc w:val="left"/>
      <w:pPr>
        <w:ind w:left="1506" w:hanging="360"/>
      </w:pPr>
    </w:lvl>
    <w:lvl w:ilvl="2" w:tplc="2400001B" w:tentative="1">
      <w:start w:val="1"/>
      <w:numFmt w:val="lowerRoman"/>
      <w:lvlText w:val="%3."/>
      <w:lvlJc w:val="right"/>
      <w:pPr>
        <w:ind w:left="2226" w:hanging="180"/>
      </w:pPr>
    </w:lvl>
    <w:lvl w:ilvl="3" w:tplc="2400000F" w:tentative="1">
      <w:start w:val="1"/>
      <w:numFmt w:val="decimal"/>
      <w:lvlText w:val="%4."/>
      <w:lvlJc w:val="left"/>
      <w:pPr>
        <w:ind w:left="2946" w:hanging="360"/>
      </w:pPr>
    </w:lvl>
    <w:lvl w:ilvl="4" w:tplc="24000019" w:tentative="1">
      <w:start w:val="1"/>
      <w:numFmt w:val="lowerLetter"/>
      <w:lvlText w:val="%5."/>
      <w:lvlJc w:val="left"/>
      <w:pPr>
        <w:ind w:left="3666" w:hanging="360"/>
      </w:pPr>
    </w:lvl>
    <w:lvl w:ilvl="5" w:tplc="2400001B" w:tentative="1">
      <w:start w:val="1"/>
      <w:numFmt w:val="lowerRoman"/>
      <w:lvlText w:val="%6."/>
      <w:lvlJc w:val="right"/>
      <w:pPr>
        <w:ind w:left="4386" w:hanging="180"/>
      </w:pPr>
    </w:lvl>
    <w:lvl w:ilvl="6" w:tplc="2400000F" w:tentative="1">
      <w:start w:val="1"/>
      <w:numFmt w:val="decimal"/>
      <w:lvlText w:val="%7."/>
      <w:lvlJc w:val="left"/>
      <w:pPr>
        <w:ind w:left="5106" w:hanging="360"/>
      </w:pPr>
    </w:lvl>
    <w:lvl w:ilvl="7" w:tplc="24000019" w:tentative="1">
      <w:start w:val="1"/>
      <w:numFmt w:val="lowerLetter"/>
      <w:lvlText w:val="%8."/>
      <w:lvlJc w:val="left"/>
      <w:pPr>
        <w:ind w:left="5826" w:hanging="360"/>
      </w:pPr>
    </w:lvl>
    <w:lvl w:ilvl="8" w:tplc="2400001B" w:tentative="1">
      <w:start w:val="1"/>
      <w:numFmt w:val="lowerRoman"/>
      <w:lvlText w:val="%9."/>
      <w:lvlJc w:val="right"/>
      <w:pPr>
        <w:ind w:left="6546" w:hanging="180"/>
      </w:pPr>
    </w:lvl>
  </w:abstractNum>
  <w:abstractNum w:abstractNumId="7"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323C6"/>
    <w:multiLevelType w:val="multilevel"/>
    <w:tmpl w:val="4D8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545BE"/>
    <w:multiLevelType w:val="hybridMultilevel"/>
    <w:tmpl w:val="CE62001A"/>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450824823">
    <w:abstractNumId w:val="7"/>
  </w:num>
  <w:num w:numId="2" w16cid:durableId="325090049">
    <w:abstractNumId w:val="0"/>
  </w:num>
  <w:num w:numId="3" w16cid:durableId="2099058035">
    <w:abstractNumId w:val="1"/>
  </w:num>
  <w:num w:numId="4" w16cid:durableId="1249536966">
    <w:abstractNumId w:val="5"/>
  </w:num>
  <w:num w:numId="5" w16cid:durableId="1775124876">
    <w:abstractNumId w:val="2"/>
  </w:num>
  <w:num w:numId="6" w16cid:durableId="1375422884">
    <w:abstractNumId w:val="9"/>
  </w:num>
  <w:num w:numId="7" w16cid:durableId="58330376">
    <w:abstractNumId w:val="3"/>
  </w:num>
  <w:num w:numId="8" w16cid:durableId="98261893">
    <w:abstractNumId w:val="6"/>
  </w:num>
  <w:num w:numId="9" w16cid:durableId="1594438934">
    <w:abstractNumId w:val="4"/>
  </w:num>
  <w:num w:numId="10" w16cid:durableId="164778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6"/>
    <w:rsid w:val="00026D62"/>
    <w:rsid w:val="00046145"/>
    <w:rsid w:val="00096E87"/>
    <w:rsid w:val="000B22FF"/>
    <w:rsid w:val="000B2768"/>
    <w:rsid w:val="000B51F1"/>
    <w:rsid w:val="000D05FA"/>
    <w:rsid w:val="00120C7A"/>
    <w:rsid w:val="001C2110"/>
    <w:rsid w:val="001C358F"/>
    <w:rsid w:val="00255376"/>
    <w:rsid w:val="002714E6"/>
    <w:rsid w:val="002F66FD"/>
    <w:rsid w:val="003029F6"/>
    <w:rsid w:val="003F67FE"/>
    <w:rsid w:val="00557BA7"/>
    <w:rsid w:val="005B009B"/>
    <w:rsid w:val="00603132"/>
    <w:rsid w:val="00632DD8"/>
    <w:rsid w:val="006F2839"/>
    <w:rsid w:val="00701DE2"/>
    <w:rsid w:val="008F3097"/>
    <w:rsid w:val="009051C5"/>
    <w:rsid w:val="009949E8"/>
    <w:rsid w:val="009E6194"/>
    <w:rsid w:val="00A03D06"/>
    <w:rsid w:val="00A449CF"/>
    <w:rsid w:val="00B453B1"/>
    <w:rsid w:val="00DE66EE"/>
    <w:rsid w:val="00E01A7D"/>
    <w:rsid w:val="00EE173E"/>
    <w:rsid w:val="00F30A84"/>
    <w:rsid w:val="00F87F92"/>
    <w:rsid w:val="00F917E3"/>
    <w:rsid w:val="00FD10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chartTrackingRefBased/>
  <w15:docId w15:val="{F4143195-43B1-4D8B-90B9-54758955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3F67FE"/>
    <w:pPr>
      <w:jc w:val="both"/>
    </w:pPr>
    <w:rPr>
      <w:rFonts w:ascii="Times New Roman" w:hAnsi="Times New Roman"/>
      <w:sz w:val="28"/>
    </w:rPr>
  </w:style>
  <w:style w:type="character" w:customStyle="1" w:styleId="myStyleChar">
    <w:name w:val="myStyle Char"/>
    <w:basedOn w:val="DefaultParagraphFont"/>
    <w:link w:val="myStyle"/>
    <w:rsid w:val="003F67FE"/>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026D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0134">
      <w:bodyDiv w:val="1"/>
      <w:marLeft w:val="0"/>
      <w:marRight w:val="0"/>
      <w:marTop w:val="0"/>
      <w:marBottom w:val="0"/>
      <w:divBdr>
        <w:top w:val="none" w:sz="0" w:space="0" w:color="auto"/>
        <w:left w:val="none" w:sz="0" w:space="0" w:color="auto"/>
        <w:bottom w:val="none" w:sz="0" w:space="0" w:color="auto"/>
        <w:right w:val="none" w:sz="0" w:space="0" w:color="auto"/>
      </w:divBdr>
    </w:div>
    <w:div w:id="184834285">
      <w:bodyDiv w:val="1"/>
      <w:marLeft w:val="0"/>
      <w:marRight w:val="0"/>
      <w:marTop w:val="0"/>
      <w:marBottom w:val="0"/>
      <w:divBdr>
        <w:top w:val="none" w:sz="0" w:space="0" w:color="auto"/>
        <w:left w:val="none" w:sz="0" w:space="0" w:color="auto"/>
        <w:bottom w:val="none" w:sz="0" w:space="0" w:color="auto"/>
        <w:right w:val="none" w:sz="0" w:space="0" w:color="auto"/>
      </w:divBdr>
    </w:div>
    <w:div w:id="546376464">
      <w:bodyDiv w:val="1"/>
      <w:marLeft w:val="0"/>
      <w:marRight w:val="0"/>
      <w:marTop w:val="0"/>
      <w:marBottom w:val="0"/>
      <w:divBdr>
        <w:top w:val="none" w:sz="0" w:space="0" w:color="auto"/>
        <w:left w:val="none" w:sz="0" w:space="0" w:color="auto"/>
        <w:bottom w:val="none" w:sz="0" w:space="0" w:color="auto"/>
        <w:right w:val="none" w:sz="0" w:space="0" w:color="auto"/>
      </w:divBdr>
    </w:div>
    <w:div w:id="804271372">
      <w:bodyDiv w:val="1"/>
      <w:marLeft w:val="0"/>
      <w:marRight w:val="0"/>
      <w:marTop w:val="0"/>
      <w:marBottom w:val="0"/>
      <w:divBdr>
        <w:top w:val="none" w:sz="0" w:space="0" w:color="auto"/>
        <w:left w:val="none" w:sz="0" w:space="0" w:color="auto"/>
        <w:bottom w:val="none" w:sz="0" w:space="0" w:color="auto"/>
        <w:right w:val="none" w:sz="0" w:space="0" w:color="auto"/>
      </w:divBdr>
    </w:div>
    <w:div w:id="1445423177">
      <w:bodyDiv w:val="1"/>
      <w:marLeft w:val="0"/>
      <w:marRight w:val="0"/>
      <w:marTop w:val="0"/>
      <w:marBottom w:val="0"/>
      <w:divBdr>
        <w:top w:val="none" w:sz="0" w:space="0" w:color="auto"/>
        <w:left w:val="none" w:sz="0" w:space="0" w:color="auto"/>
        <w:bottom w:val="none" w:sz="0" w:space="0" w:color="auto"/>
        <w:right w:val="none" w:sz="0" w:space="0" w:color="auto"/>
      </w:divBdr>
    </w:div>
    <w:div w:id="1985548146">
      <w:bodyDiv w:val="1"/>
      <w:marLeft w:val="0"/>
      <w:marRight w:val="0"/>
      <w:marTop w:val="0"/>
      <w:marBottom w:val="0"/>
      <w:divBdr>
        <w:top w:val="none" w:sz="0" w:space="0" w:color="auto"/>
        <w:left w:val="none" w:sz="0" w:space="0" w:color="auto"/>
        <w:bottom w:val="none" w:sz="0" w:space="0" w:color="auto"/>
        <w:right w:val="none" w:sz="0" w:space="0" w:color="auto"/>
      </w:divBdr>
    </w:div>
    <w:div w:id="20278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80168" TargetMode="External"/><Relationship Id="rId13" Type="http://schemas.openxmlformats.org/officeDocument/2006/relationships/hyperlink" Target="https://arxiv.org/abs/2402.04318" TargetMode="External"/><Relationship Id="rId18" Type="http://schemas.openxmlformats.org/officeDocument/2006/relationships/hyperlink" Target="https://towardsdatascience.com/understanding-gru-networks-2ef37df6c9be" TargetMode="External"/><Relationship Id="rId3" Type="http://schemas.openxmlformats.org/officeDocument/2006/relationships/settings" Target="settings.xml"/><Relationship Id="rId21" Type="http://schemas.openxmlformats.org/officeDocument/2006/relationships/hyperlink" Target="https://towardsdatascience.com/covolutional-neural-network-cb0883dd6529" TargetMode="External"/><Relationship Id="rId7" Type="http://schemas.openxmlformats.org/officeDocument/2006/relationships/hyperlink" Target="https://etrr.springeropen.com/articles/10.1007/s12544-018-0284-x#:~:text=The%20trajectory%20of%20a%20vehicle%20mainly%20describes%20the%20lateral%20positional,the%20vehicle%20enters%20a%20curve" TargetMode="External"/><Relationship Id="rId12" Type="http://schemas.openxmlformats.org/officeDocument/2006/relationships/hyperlink" Target="https://www.researchgate.net/publication/233864303_Exploiting_Map_Information_for_Driver_Intention_Estimation_at_Road_Intersections" TargetMode="External"/><Relationship Id="rId17" Type="http://schemas.openxmlformats.org/officeDocument/2006/relationships/hyperlink" Target="https://en.wikipedia.org/wiki/Long_short-term_memor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mitpress.mit.edu/9780262035613/deep-learning/" TargetMode="External"/><Relationship Id="rId1" Type="http://schemas.openxmlformats.org/officeDocument/2006/relationships/numbering" Target="numbering.xml"/><Relationship Id="rId6" Type="http://schemas.openxmlformats.org/officeDocument/2006/relationships/hyperlink" Target="https://arxiv.org/abs/2004.13119" TargetMode="External"/><Relationship Id="rId11" Type="http://schemas.openxmlformats.org/officeDocument/2006/relationships/hyperlink" Target="https://arxiv.org/abs/1803.00881" TargetMode="External"/><Relationship Id="rId5" Type="http://schemas.openxmlformats.org/officeDocument/2006/relationships/hyperlink" Target="https://arxiv.org/abs/2106.10204" TargetMode="External"/><Relationship Id="rId15" Type="http://schemas.openxmlformats.org/officeDocument/2006/relationships/hyperlink" Target="https://ieeexplore.ieee.org/document/10330483" TargetMode="External"/><Relationship Id="rId23" Type="http://schemas.openxmlformats.org/officeDocument/2006/relationships/theme" Target="theme/theme1.xml"/><Relationship Id="rId10" Type="http://schemas.openxmlformats.org/officeDocument/2006/relationships/hyperlink" Target="https://www.sciencedirect.com/science/article/abs/pii/S0968090X23002474" TargetMode="External"/><Relationship Id="rId19" Type="http://schemas.openxmlformats.org/officeDocument/2006/relationships/hyperlink" Target="https://www.nature.com/articles/nature14539" TargetMode="External"/><Relationship Id="rId4" Type="http://schemas.openxmlformats.org/officeDocument/2006/relationships/webSettings" Target="webSettings.xml"/><Relationship Id="rId9" Type="http://schemas.openxmlformats.org/officeDocument/2006/relationships/hyperlink" Target="https://www.researchgate.net/publication/360065831_Advanced_Driver_Assistance_System" TargetMode="External"/><Relationship Id="rId14" Type="http://schemas.openxmlformats.org/officeDocument/2006/relationships/hyperlink" Target="https://datahub.transportation.gov/stories/s/Next-Generation-Simulation-NGSIM-Open-Data/i5zb-xe3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7</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26</cp:revision>
  <dcterms:created xsi:type="dcterms:W3CDTF">2024-04-17T23:50:00Z</dcterms:created>
  <dcterms:modified xsi:type="dcterms:W3CDTF">2024-04-23T19:37:00Z</dcterms:modified>
</cp:coreProperties>
</file>