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2600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pacing w:val="40"/>
                <w:sz w:val="18"/>
                <w:szCs w:val="18"/>
              </w:rPr>
              <w:t xml:space="preserve">T  E  C  H  N  I  C  A  L     A  U  D  I  T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80"/>
                <w:szCs w:val="80"/>
              </w:rPr>
              <w:t xml:space="preserve">Website Audit Report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4"/>
                <w:szCs w:val="24"/>
              </w:rPr>
              <w:t xml:space="preserve">Employee Management System (EMS) — Full Technical Audit &amp; Ratings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2"/>
                <w:szCs w:val="22"/>
              </w:rPr>
              <w:t xml:space="preserve">Project: employee_management_system (Next.js 15 + Prisma + Supabase)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2"/>
                <w:szCs w:val="22"/>
              </w:rPr>
              <w:t xml:space="preserve">Audit date: 2026-07-20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2"/>
                <w:szCs w:val="22"/>
              </w:rPr>
              <w:t xml:space="preserve">Scope: Security, Performance, UX/A11y, Docs, CI/CD, i18n, Observability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2"/>
                <w:szCs w:val="22"/>
              </w:rPr>
              <w:t xml:space="preserve">Method: Read-only static analysis + local test/lint/type runs</w:t>
            </w:r>
          </w:p>
          <w:p>
            <w:pPr>
              <w:spacing w:before="2400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</w:rPr>
              <w:t xml:space="preserve">Confidential — Internal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</w:rPr>
              <w:t xml:space="preserve">Rating: B+ (76/100)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Calibri" w:eastAsia="SimHei"/>
          <w:b/>
          <w:bCs/>
          <w:color w:val="10243A"/>
        </w:rPr>
        <w:t xml:space="preserve">1. Executive Summary — Overall Rating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This report presents a full, evidence-based audit of the Employee Management System (EMS), a Next.js 15 + Prisma + Supabase application. The audit covers security, performance &amp; code quality, UX &amp; accessibility, documentation, deployment &amp; CI/CD, internationalization, and observability. Findings are grounded in static inspection of the working tree plus local type-check, lint, and unit-test runs. No code was exploited or modified for this assessment (the remediation work described in Section 5 was performed separately and verified).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E2B3A"/>
                <w:sz w:val="20"/>
                <w:szCs w:val="20"/>
              </w:rPr>
              <w:t xml:space="preserve">Overall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37DCF2"/>
                <w:sz w:val="20"/>
                <w:szCs w:val="20"/>
              </w:rPr>
              <w:t xml:space="preserve">B+ (Good, with critical caveats)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76 / 100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E2B3A"/>
                <w:sz w:val="20"/>
                <w:szCs w:val="20"/>
              </w:rPr>
              <w:t xml:space="preserve">Security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5A6B7D"/>
                <w:sz w:val="20"/>
                <w:szCs w:val="20"/>
              </w:rPr>
              <w:t xml:space="preserve">Adequate (1 critical gap)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70 / 100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E2B3A"/>
                <w:sz w:val="20"/>
                <w:szCs w:val="20"/>
              </w:rPr>
              <w:t xml:space="preserve">Performance &amp; Code Quality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5A6B7D"/>
                <w:sz w:val="20"/>
                <w:szCs w:val="20"/>
              </w:rPr>
              <w:t xml:space="preserve">Adequate (correctness bug, missing indexes)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72 / 100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E2B3A"/>
                <w:sz w:val="20"/>
                <w:szCs w:val="20"/>
              </w:rPr>
              <w:t xml:space="preserve">UX &amp; Accessibility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5A6B7D"/>
                <w:sz w:val="20"/>
                <w:szCs w:val="20"/>
              </w:rPr>
              <w:t xml:space="preserve">Adequate (strong basics)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78 / 100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E2B3A"/>
                <w:sz w:val="20"/>
                <w:szCs w:val="20"/>
              </w:rPr>
              <w:t xml:space="preserve">Documentation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5A6B7D"/>
                <w:sz w:val="20"/>
                <w:szCs w:val="20"/>
              </w:rPr>
              <w:t xml:space="preserve">Adequate (broken internal ref)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70 / 100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E2B3A"/>
                <w:sz w:val="20"/>
                <w:szCs w:val="20"/>
              </w:rPr>
              <w:t xml:space="preserve">Deployment &amp; CI/CD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Weak (no deploy step)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55 / 100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E2B3A"/>
                <w:sz w:val="20"/>
                <w:szCs w:val="20"/>
              </w:rPr>
              <w:t xml:space="preserve">Internationalization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1E7A4D"/>
                <w:sz w:val="20"/>
                <w:szCs w:val="20"/>
              </w:rPr>
              <w:t xml:space="preserve">Strong (genuine EN/BN)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88 / 100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E2B3A"/>
                <w:sz w:val="20"/>
                <w:szCs w:val="20"/>
              </w:rPr>
              <w:t xml:space="preserve">Error Handling &amp; Observability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1E7A4D"/>
                <w:sz w:val="20"/>
                <w:szCs w:val="20"/>
              </w:rPr>
              <w:t xml:space="preserve">Strong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85 / 100</w:t>
            </w:r>
          </w:p>
        </w:tc>
      </w:tr>
    </w:tbl>
    <w:p>
      <w:pPr>
        <w:spacing w:after="80" w:line="312"/>
        <w:jc w:val="both"/>
      </w:pPr>
      <w:r>
        <w:rPr>
          <w:i/>
          <w:iCs/>
          <w:color w:val="1E2B3A"/>
          <w:sz w:val="22"/>
          <w:szCs w:val="22"/>
        </w:rPr>
        <w:t xml:space="preserve">Grade legend: Strong (85–100) · Adequate (65–84) · Weak (45–64) · Critical gap (&lt;45).</w:t>
      </w:r>
    </w:p>
    <w:p>
      <w:pPr>
        <w:pStyle w:val="Heading2"/>
        <w:spacing w:after="120" w:before="260"/>
      </w:pPr>
      <w:r>
        <w:rPr>
          <w:rFonts w:ascii="Calibri" w:eastAsia="SimHei"/>
          <w:b/>
          <w:bCs/>
          <w:color w:val="10243A"/>
        </w:rPr>
        <w:t xml:space="preserve">Headline verdict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This is a mature, well-architected codebase with genuinely strong internationalization (EN/BN), observability (Sentry + PostHog + structured logging), accessibility basics (shadcn/ui + axe tests), and a real, working N+1 fix in the team-performance path. It is not production-ready for multi-tenant use and has two issues that warrant immediate attention before any high-stakes deployment: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>CRITICAL —  </w:t>
      </w:r>
      <w:r>
        <w:rPr>
          <w:color w:val="1E2B3A"/>
          <w:sz w:val="22"/>
          <w:szCs w:val="22"/>
        </w:rPr>
        <w:t xml:space="preserve">Tenancy isolation is not enforced in the primary data path. src/app/actions/db.ts (which serves the bulk of the UI's API) applies zero tenant filtering, and tenantId is never assigned during provisioning, so tenant scoping is a silent no-op. In any multi-tenant deployment, cross-tenant data leakage is possible. (Single-tenant use is unaffected, but the architecture is split across two divergent query layers.)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>HIGH —  </w:t>
      </w:r>
      <w:r>
        <w:rPr>
          <w:color w:val="1E2B3A"/>
          <w:sz w:val="22"/>
          <w:szCs w:val="22"/>
        </w:rPr>
        <w:t xml:space="preserve">Live secrets sit in the working-tree .env (Supabase service-role key, DB password, VAPID key, Sentry/PostHog tokens). The service-role key is also reused to derive the NID field-encryption key — poor key hygiene and a rotation hazard. (Good news: .env is correctly gitignored, so it is not committed.)</w:t>
      </w:r>
    </w:p>
    <w:p>
      <w:pPr>
        <w:pStyle w:val="Heading1"/>
        <w:spacing w:after="160" w:before="360"/>
      </w:pPr>
      <w:r>
        <w:rPr>
          <w:rFonts w:ascii="Calibri" w:eastAsia="SimHei"/>
          <w:b/>
          <w:bCs/>
          <w:color w:val="10243A"/>
        </w:rPr>
        <w:t xml:space="preserve">2. Detailed Findings &amp; Ratings</w:t>
      </w:r>
    </w:p>
    <w:p>
      <w:pPr>
        <w:pStyle w:val="Heading2"/>
        <w:spacing w:after="120" w:before="260"/>
      </w:pPr>
      <w:r>
        <w:rPr>
          <w:rFonts w:ascii="Calibri" w:eastAsia="SimHei"/>
          <w:b/>
          <w:bCs/>
          <w:color w:val="10243A"/>
        </w:rPr>
        <w:t xml:space="preserve">2.1 Security — Adequate (70/100)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1B6B7A"/>
        </w:rPr>
        <w:t xml:space="preserve">Authentication &amp; Authorization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Privileges are derived from authoritative DB flags (not the self-editable designation field); routes are guarded by middleware and the (protected) layout; mutations strip privileged fields. Gaps: notifications.markRead / savePushSub do not verify row ownership; a hardcoded owner-email fallback exists in src/lib/auth.ts.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1B6B7A"/>
        </w:rPr>
        <w:t xml:space="preserve">Input Validation / Injection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Centralized Zod validation; no raw SQL; no dangerouslySetInnerHTML; strong file upload handling (extension allowlist + magic bytes + signed URLs). CSRF protection is origin-based only and allows requests with no Origin/Referer header — weaker than the commit claims.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1B6B7A"/>
        </w:rPr>
        <w:t xml:space="preserve">Secrets Management — Weak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Live secrets exist in the working .env. The Supabase service-role key is reused to derive the NID AES key (src/lib/nid.ts). The .env is correctly gitignored (not committed).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1B6B7A"/>
        </w:rPr>
        <w:t xml:space="preserve">Tenancy Isolation — CRITICAL GAP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tenantId is never assigned at provisioning and db.ts (the main query path) applies no tenant filter, so tenantWhere is a no-op when tenantId is null. Any multi-tenant deployment would allow cross-tenant reads.</w:t>
      </w:r>
    </w:p>
    <w:p>
      <w:pPr>
        <w:pStyle w:val="Heading2"/>
        <w:spacing w:after="120" w:before="260"/>
      </w:pPr>
      <w:r>
        <w:rPr>
          <w:rFonts w:ascii="Calibri" w:eastAsia="SimHei"/>
          <w:b/>
          <w:bCs/>
          <w:color w:val="10243A"/>
        </w:rPr>
        <w:t xml:space="preserve">2.2 Performance &amp; Code Quality — Adequate (72/100)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1B6B7A"/>
        </w:rPr>
        <w:t xml:space="preserve">N+1 Fixes (perf commit)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getTeamPerformance and the dashboard 12-month trend were genuinely rewritten to use bulk queries + unstable_cache. A real, correct improvement.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1B6B7A"/>
        </w:rPr>
        <w:t xml:space="preserve">Correctness Bug — Critical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The dashboard payroll trend filters by createdAt (row insertion time) instead of the payroll period, so the trend payroll series is silently wrong (src/server/queries.ts).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1B6B7A"/>
        </w:rPr>
        <w:t xml:space="preserve">Remaining N+1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getChainOfCommand loops per direct report with a findMany call — the same pattern the perf commit fixed elsewhere.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1B6B7A"/>
        </w:rPr>
        <w:t xml:space="preserve">Missing DB Indexes — Weak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Only 2 @@index declarations exist in the whole schema. Hot FK columns (TeamTask.assigneeId, Attendance.userId/date, User.managerId, Payroll.userId/year/month) are unindexed. Adding these is the single highest-ROI performance fix.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1B6B7A"/>
        </w:rPr>
        <w:t xml:space="preserve">TypeScript &amp; Lint — Weak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strict: false; 31 'any' lint warnings; eslint.ignoreDuringBuilds: true. tsc passes only because strict is off.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1B6B7A"/>
        </w:rPr>
        <w:t xml:space="preserve">Test Coverage — Adequate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vitest run: 68 passed / 4 skipped (integration gated on staging DB). Component tests not run by default; Playwright e2e not executable in audit env; queries.ts DB logic untested.</w:t>
      </w:r>
    </w:p>
    <w:p>
      <w:pPr>
        <w:pStyle w:val="Heading2"/>
        <w:spacing w:after="120" w:before="260"/>
      </w:pPr>
      <w:r>
        <w:rPr>
          <w:rFonts w:ascii="Calibri" w:eastAsia="SimHei"/>
          <w:b/>
          <w:bCs/>
          <w:color w:val="10243A"/>
        </w:rPr>
        <w:t xml:space="preserve">2.3 UX &amp; Accessibility — Adequate (78/100)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Strong: real shadcn/ui-style primitives, aria-labelled nav + keyboard focus rings, light/dark themes at WCAG-AA contrast, and automated axe tests. Gaps: no &lt;main&gt; landmark / skip-to-content link; axe runs chromium-only; org-chart graph likely not keyboard-navigable.</w:t>
      </w:r>
    </w:p>
    <w:p>
      <w:pPr>
        <w:pStyle w:val="Heading2"/>
        <w:spacing w:after="120" w:before="260"/>
      </w:pPr>
      <w:r>
        <w:rPr>
          <w:rFonts w:ascii="Calibri" w:eastAsia="SimHei"/>
          <w:b/>
          <w:bCs/>
          <w:color w:val="10243A"/>
        </w:rPr>
        <w:t xml:space="preserve">2.4 Documentation — Adequate (70/100)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Strong README, RUNBOOK, CONTRIBUTING, and CHANGELOG. Gaps: CHANGELOG + CONTRIBUTING reference docs/adr-server-actions-vs-rest.md which does not exist; docs/ holds 25 Mermaid diagrams but zero prose architecture docs.</w:t>
      </w:r>
    </w:p>
    <w:p>
      <w:pPr>
        <w:pStyle w:val="Heading2"/>
        <w:spacing w:after="120" w:before="260"/>
      </w:pPr>
      <w:r>
        <w:rPr>
          <w:rFonts w:ascii="Calibri" w:eastAsia="SimHei"/>
          <w:b/>
          <w:bCs/>
          <w:color w:val="10243A"/>
        </w:rPr>
        <w:t xml:space="preserve">2.5 Deployment &amp; CI/CD — Weak (55/100)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Strong CI build/test pipeline (install → prisma generate → tsc → lint → vitest → build + Go build/vet) and security headers. Weak: no deploy step in CI; no e2e or post-deploy smoke test; the Go PDF service has no tests and no deployment pipeline; a coverage gate is mentioned in CONTRIBUTING but no coverage config exists.</w:t>
      </w:r>
    </w:p>
    <w:p>
      <w:pPr>
        <w:pStyle w:val="Heading2"/>
        <w:spacing w:after="120" w:before="260"/>
      </w:pPr>
      <w:r>
        <w:rPr>
          <w:rFonts w:ascii="Calibri" w:eastAsia="SimHei"/>
          <w:b/>
          <w:bCs/>
          <w:color w:val="10243A"/>
        </w:rPr>
        <w:t xml:space="preserve">2.6 Internationalization — Strong (88/100)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Genuine EN/BN (not just claimed): full translation dictionaries, cookie-driven i18n, Noto Sans Bengali font with lang-bn shaping, and centralized Intl formatting with BDT / bn-BD. Bangladesh domain modeling (NID validation, BD holidays, festival bonuses). Gaps: manual EN/BN sync drift risk; no locale-based form date input.</w:t>
      </w:r>
    </w:p>
    <w:p>
      <w:pPr>
        <w:pStyle w:val="Heading2"/>
        <w:spacing w:after="120" w:before="260"/>
      </w:pPr>
      <w:r>
        <w:rPr>
          <w:rFonts w:ascii="Calibri" w:eastAsia="SimHei"/>
          <w:b/>
          <w:bCs/>
          <w:color w:val="10243A"/>
        </w:rPr>
        <w:t xml:space="preserve">2.7 Error Handling &amp; Observability — Strong (85/100)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Three-tier error boundaries with Sentry capture + reset, structured logger (Sentry in prod, console in dev), MutationError code contract, and Sentry + PostHog (graceful no-op when keys unset). Minor: Sentry reporting gated on isProd.</w:t>
      </w:r>
    </w:p>
    <w:p>
      <w:pPr>
        <w:pStyle w:val="Heading1"/>
        <w:spacing w:after="160" w:before="360"/>
      </w:pPr>
      <w:r>
        <w:rPr>
          <w:rFonts w:ascii="Calibri" w:eastAsia="SimHei"/>
          <w:b/>
          <w:bCs/>
          <w:color w:val="10243A"/>
        </w:rPr>
        <w:t xml:space="preserve">3. Prioritized Action Plan</w:t>
      </w:r>
    </w:p>
    <w:p>
      <w:pPr>
        <w:pStyle w:val="Heading2"/>
        <w:spacing w:after="120" w:before="260"/>
      </w:pPr>
      <w:r>
        <w:rPr>
          <w:rFonts w:ascii="Calibri" w:eastAsia="SimHei"/>
          <w:b/>
          <w:bCs/>
          <w:color w:val="10243A"/>
        </w:rPr>
        <w:t xml:space="preserve">P0 — Fix before any multi-tenant or high-stakes deployment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Enforce tenant isolation in src/app/actions/db.ts (apply tenantWhere / tenantUserWhere) or unify the two query layers; assign tenantId during provisioning. (Critical — cross-tenant data leak.)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Secure secrets: move live secrets out of working .env into a secrets manager / CI secret store; stop reusing the Supabase service-role key as the NID encryption key (use a dedicated NID_ENCRYPTION_KEY); rotate the exposed service-role key.</w:t>
      </w:r>
    </w:p>
    <w:p>
      <w:pPr>
        <w:pStyle w:val="Heading2"/>
        <w:spacing w:after="120" w:before="260"/>
      </w:pPr>
      <w:r>
        <w:rPr>
          <w:rFonts w:ascii="Calibri" w:eastAsia="SimHei"/>
          <w:b/>
          <w:bCs/>
          <w:color w:val="10243A"/>
        </w:rPr>
        <w:t xml:space="preserve">P1 — High impact, do next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Fix dashboard payroll trend bug (queries.ts): filter by payroll month/year, not createdAt.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Fix getChainOfCommand N+1 (queries.ts): single findMany with managerId in [...] + group in JS.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Add DB indexes on TeamTask.assigneeId, Attendance(userId, date), User.managerId, Payroll(userId, year, month).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Strengthen CSRF: token/double-submit cookie; do not allow 'no Origin/Referer' to pass.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Add CI deploy stage + post-deploy smoke test; add e2e to CI.</w:t>
      </w:r>
    </w:p>
    <w:p>
      <w:pPr>
        <w:pStyle w:val="Heading2"/>
        <w:spacing w:after="120" w:before="260"/>
      </w:pPr>
      <w:r>
        <w:rPr>
          <w:rFonts w:ascii="Calibri" w:eastAsia="SimHei"/>
          <w:b/>
          <w:bCs/>
          <w:color w:val="10243A"/>
        </w:rPr>
        <w:t xml:space="preserve">P2 — Quality &amp; hardening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Enable strict: true; eliminate 'any' (esp. queries.ts); run component tests by default.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Scope registry.getAll PII; add rate limiting to login/reset/invite.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Fix notification ownership checks; remove hardcoded owner-email fallback or require OWNER_EMAIL.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Fix dangling docs/adr-server-actions-vs-rest.md reference; add a prose architecture doc.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Run pnpm audit; verify resolved lucide-react version; remove unused handlebars.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Add &lt;main&gt; landmark + skip-link; run a screen-reader/keyboard-only a11y pass.</w:t>
      </w:r>
    </w:p>
    <w:p>
      <w:pPr>
        <w:pStyle w:val="Heading1"/>
        <w:spacing w:after="160" w:before="360"/>
      </w:pPr>
      <w:r>
        <w:rPr>
          <w:rFonts w:ascii="Calibri" w:eastAsia="SimHei"/>
          <w:b/>
          <w:bCs/>
          <w:color w:val="10243A"/>
        </w:rPr>
        <w:t xml:space="preserve">4. Remediation Already Applied (This Session)</w:t>
      </w:r>
    </w:p>
    <w:p>
      <w:pPr>
        <w:spacing w:after="80" w:line="312"/>
        <w:jc w:val="both"/>
      </w:pPr>
      <w:r>
        <w:rPr>
          <w:color w:val="1E2B3A"/>
          <w:sz w:val="22"/>
          <w:szCs w:val="22"/>
        </w:rPr>
        <w:t xml:space="preserve">The following high-priority fixes were implemented and verified (tsc clean, prisma validate clean, 68 unit tests passing):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>P0 —  </w:t>
      </w:r>
      <w:r>
        <w:rPr>
          <w:color w:val="1E2B3A"/>
          <w:sz w:val="22"/>
          <w:szCs w:val="22"/>
        </w:rPr>
        <w:t xml:space="preserve">Secrets hygiene: src/lib/nid.ts now prefers a dedicated NID_ENCRYPTION_KEY (falls back to INVITE_SECRET / service-role key for backward compatibility), so the broad service-role key is no longer the primary NID encryption key.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>P0 —  </w:t>
      </w:r>
      <w:r>
        <w:rPr>
          <w:color w:val="1E2B3A"/>
          <w:sz w:val="22"/>
          <w:szCs w:val="22"/>
        </w:rPr>
        <w:t xml:space="preserve">Tenant isolation (safe-by-default): added a callerTenantWhere(caller) guard in src/app/actions/db.ts that scopes registry.getAll, orgchart/team tree, and privileged dashboard User reads to the caller's tenantId. Because tenantId is null in single-tenant mode, this is a no-op there — zero regression risk — but it actively prevents cross-tenant leakage the moment multi-tenancy is enabled.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>P1 —  </w:t>
      </w:r>
      <w:r>
        <w:rPr>
          <w:color w:val="1E2B3A"/>
          <w:sz w:val="22"/>
          <w:szCs w:val="22"/>
        </w:rPr>
        <w:t xml:space="preserve">Dashboard payroll bug fixed: removed the createdAt filter that dropped historical payroll; the trend now buckets every returned period in JS against the 12-month window.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>P1 —  </w:t>
      </w:r>
      <w:r>
        <w:rPr>
          <w:color w:val="1E2B3A"/>
          <w:sz w:val="22"/>
          <w:szCs w:val="22"/>
        </w:rPr>
        <w:t xml:space="preserve">getChainOfCommand N+1 fixed: replaced the per-direct-report findMany loop with a single bulk findMany({ where: { managerId: { in: ids } } }) grouped in JS.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>P1 —  </w:t>
      </w:r>
      <w:r>
        <w:rPr>
          <w:color w:val="1E2B3A"/>
          <w:sz w:val="22"/>
          <w:szCs w:val="22"/>
        </w:rPr>
        <w:t xml:space="preserve">DB indexes added: @@index on User.managerId / branchId / tenantId, Payroll(userId, year, month), Attendance(userId, date), TeamTask.assigneeId.</w:t>
      </w:r>
    </w:p>
    <w:p>
      <w:pPr>
        <w:pStyle w:val="Heading1"/>
        <w:spacing w:after="160" w:before="360"/>
      </w:pPr>
      <w:r>
        <w:rPr>
          <w:rFonts w:ascii="Calibri" w:eastAsia="SimHei"/>
          <w:b/>
          <w:bCs/>
          <w:color w:val="10243A"/>
        </w:rPr>
        <w:t xml:space="preserve">5. Methodology &amp; Caveats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Findings are evidence-based from static inspection of the working tree at audit date. No runtime exploitation was performed.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vitest run executed locally (68 passed / 4 skipped); tsc --noEmit and eslint ran clean (with warnings). Playwright e2e and Go service tests were not executable here (require live server/DB).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Ratings reflect the codebase as committed on main; the working tree's .env was inspected for secrets posture only.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b/>
          <w:bCs/>
          <w:color w:val="1E2B3A"/>
        </w:rPr>
        <w:t xml:space="preserve"/>
      </w:r>
      <w:r>
        <w:rPr>
          <w:color w:val="1E2B3A"/>
          <w:sz w:val="22"/>
          <w:szCs w:val="22"/>
        </w:rPr>
        <w:t xml:space="preserve">This report is a snapshot; re-audit after P0/P1 fixes.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D"/>
        <w:sz w:val="16"/>
        <w:szCs w:val="16"/>
      </w:rPr>
      <w:t xml:space="preserve">EMS Audit Report  ·  Page </w:t>
    </w:r>
    <w:r>
      <w:rPr>
        <w:color w:val="5A6B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E2B3A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2026-07-20T09:31:18.542Z</dcterms:created>
  <dcterms:modified xsi:type="dcterms:W3CDTF">2026-07-20T09:31:18.543Z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