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b/>
          <w:bCs/>
          <w:sz w:val="32"/>
          <w:szCs w:val="32"/>
        </w:rPr>
        <w:t xml:space="preserve">Spatio-Temporal Analysis and Future Prediction of Urban Green Space Loss in Dhaka City (2000–2030)</w:t>
      </w:r>
    </w:p>
    <w:p>
      <w:pPr>
        <w:spacing w:after="600"/>
        <w:jc w:val="center"/>
      </w:pPr>
      <w:r>
        <w:rPr>
          <w:i/>
          <w:iCs/>
          <w:sz w:val="24"/>
          <w:szCs w:val="24"/>
        </w:rPr>
        <w:t xml:space="preserve">Implications for Nighttime Urban Heat, Human Health, and Economic Well-Being Using Remote Sensing, GIS, and Machine Learning</w:t>
      </w:r>
    </w:p>
    <w:p>
      <w:pPr>
        <w:spacing w:after="100"/>
        <w:jc w:val="center"/>
      </w:pPr>
      <w:r>
        <w:rPr>
          <w:sz w:val="22"/>
          <w:szCs w:val="22"/>
        </w:rPr>
        <w:t xml:space="preserve">Research Proposal and Methodology Framework</w:t>
      </w:r>
    </w:p>
    <w:p>
      <w:pPr>
        <w:jc w:val="center"/>
      </w:pPr>
      <w:r>
        <w:rPr>
          <w:color w:val="555555"/>
          <w:sz w:val="20"/>
          <w:szCs w:val="20"/>
        </w:rPr>
        <w:t xml:space="preserve">Phase 1 Deliverable — Design, Data Inventory, and Reproducibility Plan</w:t>
      </w:r>
    </w:p>
    <w:p>
      <w:r>
        <w:br w:type="page"/>
      </w:r>
    </w:p>
    <w:p>
      <w:pPr>
        <w:pStyle w:val="Heading1"/>
        <w:spacing w:after="200" w:before="400"/>
      </w:pPr>
      <w:r>
        <w:t xml:space="preserve">How This Document Fits Into the Full Project</w:t>
      </w:r>
    </w:p>
    <w:p>
      <w:pPr>
        <w:spacing w:after="150"/>
      </w:pPr>
      <w:r>
        <w:t xml:space="preserve">This document is Phase 1 of the thesis project you outlined: it fixes the study-area boundary, builds the complete data inventory, sets out the methodology chapter, and gives you ready-to-run code scaffolding for Google Earth Engine and Python. It does not contain invented NDVI/NDBI/LST values, fabricated health or economic figures, or a finished literature review, because none of that can be produced responsibly without the underlying raster and tabular data and real citations.</w:t>
      </w:r>
    </w:p>
    <w:p>
      <w:pPr>
        <w:spacing w:after="150"/>
      </w:pPr>
      <w:r>
        <w:t xml:space="preserve">The realistic path for a project of this size is iterative: (1) fix the design (this document), (2) you or I pull the actual satellite and tabular data (this environment has no live internet access from its code-execution sandbox, so Earth Engine/API pulls need to run in your own GEE account or a connected environment — see the Reproducibility section), (3) you share the resulting rasters/CSVs back in this conversation, and (4) I run the statistical analysis, ML models, maps, and thesis chapters against real numbers. Section 0 below spells out exactly what to send back and in what format.</w:t>
      </w:r>
    </w:p>
    <w:p>
      <w:pPr>
        <w:pStyle w:val="Heading2"/>
        <w:spacing w:after="150" w:before="300"/>
      </w:pPr>
      <w:r>
        <w:t xml:space="preserve">0. Suggested Phased Workflow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6"/>
        <w:gridCol w:w="4435"/>
        <w:gridCol w:w="2822"/>
        <w:gridCol w:w="2016"/>
      </w:tblGrid>
      <w:tr>
        <w:trPr>
          <w:tblHeader/>
        </w:trPr>
        <w:tc>
          <w:tcPr>
            <w:tcW w:type="dxa" w:w="806"/>
            <w:shd w:fill="1F3864" w:val="clear"/>
          </w:tcPr>
          <w:p>
            <w:r>
              <w:rPr>
                <w:b/>
                <w:bCs/>
                <w:color w:val="FFFFFF"/>
                <w:sz w:val="18"/>
                <w:szCs w:val="18"/>
              </w:rPr>
              <w:t xml:space="preserve">Phase</w:t>
            </w:r>
          </w:p>
        </w:tc>
        <w:tc>
          <w:tcPr>
            <w:tcW w:type="dxa" w:w="4435"/>
            <w:shd w:fill="1F3864" w:val="clear"/>
          </w:tcPr>
          <w:p>
            <w:r>
              <w:rPr>
                <w:b/>
                <w:bCs/>
                <w:color w:val="FFFFFF"/>
                <w:sz w:val="18"/>
                <w:szCs w:val="18"/>
              </w:rPr>
              <w:t xml:space="preserve">Deliverable</w:t>
            </w:r>
          </w:p>
        </w:tc>
        <w:tc>
          <w:tcPr>
            <w:tcW w:type="dxa" w:w="2822"/>
            <w:shd w:fill="1F3864" w:val="clear"/>
          </w:tcPr>
          <w:p>
            <w:r>
              <w:rPr>
                <w:b/>
                <w:bCs/>
                <w:color w:val="FFFFFF"/>
                <w:sz w:val="18"/>
                <w:szCs w:val="18"/>
              </w:rPr>
              <w:t xml:space="preserve">Who runs it</w:t>
            </w:r>
          </w:p>
        </w:tc>
        <w:tc>
          <w:tcPr>
            <w:tcW w:type="dxa" w:w="2016"/>
            <w:shd w:fill="1F3864" w:val="clear"/>
          </w:tcPr>
          <w:p>
            <w:r>
              <w:rPr>
                <w:b/>
                <w:bCs/>
                <w:color w:val="FFFFFF"/>
                <w:sz w:val="18"/>
                <w:szCs w:val="18"/>
              </w:rPr>
              <w:t xml:space="preserve">Status</w:t>
            </w:r>
          </w:p>
        </w:tc>
      </w:tr>
      <w:tr>
        <w:tc>
          <w:tcPr>
            <w:tcW w:type="dxa" w:w="806"/>
            <w:shd w:fill="FFFFFF" w:val="clear"/>
          </w:tcPr>
          <w:p>
            <w:r>
              <w:rPr>
                <w:sz w:val="18"/>
                <w:szCs w:val="18"/>
              </w:rPr>
              <w:t xml:space="preserve">1</w:t>
            </w:r>
          </w:p>
        </w:tc>
        <w:tc>
          <w:tcPr>
            <w:tcW w:type="dxa" w:w="4435"/>
            <w:shd w:fill="FFFFFF" w:val="clear"/>
          </w:tcPr>
          <w:p>
            <w:r>
              <w:rPr>
                <w:sz w:val="18"/>
                <w:szCs w:val="18"/>
              </w:rPr>
              <w:t xml:space="preserve">Study area definition, data inventory, methodology, code scaffolding</w:t>
            </w:r>
          </w:p>
        </w:tc>
        <w:tc>
          <w:tcPr>
            <w:tcW w:type="dxa" w:w="2822"/>
            <w:shd w:fill="FFFFFF" w:val="clear"/>
          </w:tcPr>
          <w:p>
            <w:r>
              <w:rPr>
                <w:sz w:val="18"/>
                <w:szCs w:val="18"/>
              </w:rPr>
              <w:t xml:space="preserve">Claude (this document)</w:t>
            </w:r>
          </w:p>
        </w:tc>
        <w:tc>
          <w:tcPr>
            <w:tcW w:type="dxa" w:w="2016"/>
            <w:shd w:fill="FFFFFF" w:val="clear"/>
          </w:tcPr>
          <w:p>
            <w:r>
              <w:rPr>
                <w:sz w:val="18"/>
                <w:szCs w:val="18"/>
              </w:rPr>
              <w:t xml:space="preserve">Done — this file</w:t>
            </w:r>
          </w:p>
        </w:tc>
      </w:tr>
      <w:tr>
        <w:tc>
          <w:tcPr>
            <w:tcW w:type="dxa" w:w="806"/>
            <w:shd w:fill="F2F2F2" w:val="clear"/>
          </w:tcPr>
          <w:p>
            <w:r>
              <w:rPr>
                <w:sz w:val="18"/>
                <w:szCs w:val="18"/>
              </w:rPr>
              <w:t xml:space="preserve">2</w:t>
            </w:r>
          </w:p>
        </w:tc>
        <w:tc>
          <w:tcPr>
            <w:tcW w:type="dxa" w:w="4435"/>
            <w:shd w:fill="F2F2F2" w:val="clear"/>
          </w:tcPr>
          <w:p>
            <w:r>
              <w:rPr>
                <w:sz w:val="18"/>
                <w:szCs w:val="18"/>
              </w:rPr>
              <w:t xml:space="preserve">Literature review with real citations (Ch. 2)</w:t>
            </w:r>
          </w:p>
        </w:tc>
        <w:tc>
          <w:tcPr>
            <w:tcW w:type="dxa" w:w="2822"/>
            <w:shd w:fill="F2F2F2" w:val="clear"/>
          </w:tcPr>
          <w:p>
            <w:r>
              <w:rPr>
                <w:sz w:val="18"/>
                <w:szCs w:val="18"/>
              </w:rPr>
              <w:t xml:space="preserve">Claude, via web search in a follow-up turn</w:t>
            </w:r>
          </w:p>
        </w:tc>
        <w:tc>
          <w:tcPr>
            <w:tcW w:type="dxa" w:w="2016"/>
            <w:shd w:fill="F2F2F2" w:val="clear"/>
          </w:tcPr>
          <w:p>
            <w:r>
              <w:rPr>
                <w:sz w:val="18"/>
                <w:szCs w:val="18"/>
              </w:rPr>
              <w:t xml:space="preserve">Ready to start on request</w:t>
            </w:r>
          </w:p>
        </w:tc>
      </w:tr>
      <w:tr>
        <w:tc>
          <w:tcPr>
            <w:tcW w:type="dxa" w:w="806"/>
            <w:shd w:fill="FFFFFF" w:val="clear"/>
          </w:tcPr>
          <w:p>
            <w:r>
              <w:rPr>
                <w:sz w:val="18"/>
                <w:szCs w:val="18"/>
              </w:rPr>
              <w:t xml:space="preserve">3</w:t>
            </w:r>
          </w:p>
        </w:tc>
        <w:tc>
          <w:tcPr>
            <w:tcW w:type="dxa" w:w="4435"/>
            <w:shd w:fill="FFFFFF" w:val="clear"/>
          </w:tcPr>
          <w:p>
            <w:r>
              <w:rPr>
                <w:sz w:val="18"/>
                <w:szCs w:val="18"/>
              </w:rPr>
              <w:t xml:space="preserve">GEE extraction of NDVI/NDBI/LST for 2000/2005/2010/2015/2020/2025</w:t>
            </w:r>
          </w:p>
        </w:tc>
        <w:tc>
          <w:tcPr>
            <w:tcW w:type="dxa" w:w="2822"/>
            <w:shd w:fill="FFFFFF" w:val="clear"/>
          </w:tcPr>
          <w:p>
            <w:r>
              <w:rPr>
                <w:sz w:val="18"/>
                <w:szCs w:val="18"/>
              </w:rPr>
              <w:t xml:space="preserve">You, in Google Earth Engine (script provided)</w:t>
            </w:r>
          </w:p>
        </w:tc>
        <w:tc>
          <w:tcPr>
            <w:tcW w:type="dxa" w:w="2016"/>
            <w:shd w:fill="FFFFFF" w:val="clear"/>
          </w:tcPr>
          <w:p>
            <w:r>
              <w:rPr>
                <w:sz w:val="18"/>
                <w:szCs w:val="18"/>
              </w:rPr>
              <w:t xml:space="preserve">Needs your GEE account</w:t>
            </w:r>
          </w:p>
        </w:tc>
      </w:tr>
      <w:tr>
        <w:tc>
          <w:tcPr>
            <w:tcW w:type="dxa" w:w="806"/>
            <w:shd w:fill="F2F2F2" w:val="clear"/>
          </w:tcPr>
          <w:p>
            <w:r>
              <w:rPr>
                <w:sz w:val="18"/>
                <w:szCs w:val="18"/>
              </w:rPr>
              <w:t xml:space="preserve">4</w:t>
            </w:r>
          </w:p>
        </w:tc>
        <w:tc>
          <w:tcPr>
            <w:tcW w:type="dxa" w:w="4435"/>
            <w:shd w:fill="F2F2F2" w:val="clear"/>
          </w:tcPr>
          <w:p>
            <w:r>
              <w:rPr>
                <w:sz w:val="18"/>
                <w:szCs w:val="18"/>
              </w:rPr>
              <w:t xml:space="preserve">Ward/grid-level tabular dataset assembly (population, health, economic)</w:t>
            </w:r>
          </w:p>
        </w:tc>
        <w:tc>
          <w:tcPr>
            <w:tcW w:type="dxa" w:w="2822"/>
            <w:shd w:fill="F2F2F2" w:val="clear"/>
          </w:tcPr>
          <w:p>
            <w:r>
              <w:rPr>
                <w:sz w:val="18"/>
                <w:szCs w:val="18"/>
              </w:rPr>
              <w:t xml:space="preserve">You (download) + Claude (cleaning/merge code)</w:t>
            </w:r>
          </w:p>
        </w:tc>
        <w:tc>
          <w:tcPr>
            <w:tcW w:type="dxa" w:w="2016"/>
            <w:shd w:fill="F2F2F2" w:val="clear"/>
          </w:tcPr>
          <w:p>
            <w:r>
              <w:rPr>
                <w:sz w:val="18"/>
                <w:szCs w:val="18"/>
              </w:rPr>
              <w:t xml:space="preserve">Needs source files</w:t>
            </w:r>
          </w:p>
        </w:tc>
      </w:tr>
      <w:tr>
        <w:tc>
          <w:tcPr>
            <w:tcW w:type="dxa" w:w="806"/>
            <w:shd w:fill="FFFFFF" w:val="clear"/>
          </w:tcPr>
          <w:p>
            <w:r>
              <w:rPr>
                <w:sz w:val="18"/>
                <w:szCs w:val="18"/>
              </w:rPr>
              <w:t xml:space="preserve">5</w:t>
            </w:r>
          </w:p>
        </w:tc>
        <w:tc>
          <w:tcPr>
            <w:tcW w:type="dxa" w:w="4435"/>
            <w:shd w:fill="FFFFFF" w:val="clear"/>
          </w:tcPr>
          <w:p>
            <w:r>
              <w:rPr>
                <w:sz w:val="18"/>
                <w:szCs w:val="18"/>
              </w:rPr>
              <w:t xml:space="preserve">Statistical analysis, correlation/regression, ML models, 2030 scenario</w:t>
            </w:r>
          </w:p>
        </w:tc>
        <w:tc>
          <w:tcPr>
            <w:tcW w:type="dxa" w:w="2822"/>
            <w:shd w:fill="FFFFFF" w:val="clear"/>
          </w:tcPr>
          <w:p>
            <w:r>
              <w:rPr>
                <w:sz w:val="18"/>
                <w:szCs w:val="18"/>
              </w:rPr>
              <w:t xml:space="preserve">Claude, once data from Phases 3–4 are uploaded</w:t>
            </w:r>
          </w:p>
        </w:tc>
        <w:tc>
          <w:tcPr>
            <w:tcW w:type="dxa" w:w="2016"/>
            <w:shd w:fill="FFFFFF" w:val="clear"/>
          </w:tcPr>
          <w:p>
            <w:r>
              <w:rPr>
                <w:sz w:val="18"/>
                <w:szCs w:val="18"/>
              </w:rPr>
              <w:t xml:space="preserve">Ready to start once data arrive</w:t>
            </w:r>
          </w:p>
        </w:tc>
      </w:tr>
      <w:tr>
        <w:tc>
          <w:tcPr>
            <w:tcW w:type="dxa" w:w="806"/>
            <w:shd w:fill="F2F2F2" w:val="clear"/>
          </w:tcPr>
          <w:p>
            <w:r>
              <w:rPr>
                <w:sz w:val="18"/>
                <w:szCs w:val="18"/>
              </w:rPr>
              <w:t xml:space="preserve">6</w:t>
            </w:r>
          </w:p>
        </w:tc>
        <w:tc>
          <w:tcPr>
            <w:tcW w:type="dxa" w:w="4435"/>
            <w:shd w:fill="F2F2F2" w:val="clear"/>
          </w:tcPr>
          <w:p>
            <w:r>
              <w:rPr>
                <w:sz w:val="18"/>
                <w:szCs w:val="18"/>
              </w:rPr>
              <w:t xml:space="preserve">CNN land-cover classification (if labeled image patches exist)</w:t>
            </w:r>
          </w:p>
        </w:tc>
        <w:tc>
          <w:tcPr>
            <w:tcW w:type="dxa" w:w="2822"/>
            <w:shd w:fill="F2F2F2" w:val="clear"/>
          </w:tcPr>
          <w:p>
            <w:r>
              <w:rPr>
                <w:sz w:val="18"/>
                <w:szCs w:val="18"/>
              </w:rPr>
              <w:t xml:space="preserve">Claude, on uploaded imagery/labels</w:t>
            </w:r>
          </w:p>
        </w:tc>
        <w:tc>
          <w:tcPr>
            <w:tcW w:type="dxa" w:w="2016"/>
            <w:shd w:fill="F2F2F2" w:val="clear"/>
          </w:tcPr>
          <w:p>
            <w:r>
              <w:rPr>
                <w:sz w:val="18"/>
                <w:szCs w:val="18"/>
              </w:rPr>
              <w:t xml:space="preserve">Conditional — see Section 15 note</w:t>
            </w:r>
          </w:p>
        </w:tc>
      </w:tr>
      <w:tr>
        <w:tc>
          <w:tcPr>
            <w:tcW w:type="dxa" w:w="806"/>
            <w:shd w:fill="FFFFFF" w:val="clear"/>
          </w:tcPr>
          <w:p>
            <w:r>
              <w:rPr>
                <w:sz w:val="18"/>
                <w:szCs w:val="18"/>
              </w:rPr>
              <w:t xml:space="preserve">7</w:t>
            </w:r>
          </w:p>
        </w:tc>
        <w:tc>
          <w:tcPr>
            <w:tcW w:type="dxa" w:w="4435"/>
            <w:shd w:fill="FFFFFF" w:val="clear"/>
          </w:tcPr>
          <w:p>
            <w:r>
              <w:rPr>
                <w:sz w:val="18"/>
                <w:szCs w:val="18"/>
              </w:rPr>
              <w:t xml:space="preserve">Full thesis write-up (Ch. 1–6), maps, graphs, tables</w:t>
            </w:r>
          </w:p>
        </w:tc>
        <w:tc>
          <w:tcPr>
            <w:tcW w:type="dxa" w:w="2822"/>
            <w:shd w:fill="FFFFFF" w:val="clear"/>
          </w:tcPr>
          <w:p>
            <w:r>
              <w:rPr>
                <w:sz w:val="18"/>
                <w:szCs w:val="18"/>
              </w:rPr>
              <w:t xml:space="preserve">Claude, assembled from Phases 2–6 outputs</w:t>
            </w:r>
          </w:p>
        </w:tc>
        <w:tc>
          <w:tcPr>
            <w:tcW w:type="dxa" w:w="2016"/>
            <w:shd w:fill="FFFFFF" w:val="clear"/>
          </w:tcPr>
          <w:p>
            <w:r>
              <w:rPr>
                <w:sz w:val="18"/>
                <w:szCs w:val="18"/>
              </w:rPr>
              <w:t xml:space="preserve">Builds on all prior phases</w:t>
            </w:r>
          </w:p>
        </w:tc>
      </w:tr>
    </w:tbl>
    <w:p>
      <w:pPr>
        <w:spacing w:after="150"/>
      </w:pPr>
      <w:r>
        <w:rPr>
          <w:i/>
          <w:iCs/>
          <w:color w:val="555555"/>
        </w:rPr>
        <w:t xml:space="preserve">Each phase can be requested independently — you do not need to wait for the whole pipeline to see partial results.</w:t>
      </w:r>
    </w:p>
    <w:p>
      <w:r>
        <w:br w:type="page"/>
      </w:r>
    </w:p>
    <w:p>
      <w:pPr>
        <w:pStyle w:val="Heading1"/>
        <w:spacing w:after="200" w:before="400"/>
      </w:pPr>
      <w:r>
        <w:t xml:space="preserve">Chapter 1 — Introduction</w:t>
      </w:r>
    </w:p>
    <w:p>
      <w:pPr>
        <w:pStyle w:val="Heading2"/>
        <w:spacing w:after="150" w:before="300"/>
      </w:pPr>
      <w:r>
        <w:t xml:space="preserve">1.1 Background</w:t>
      </w:r>
    </w:p>
    <w:p>
      <w:pPr>
        <w:spacing w:after="150"/>
      </w:pPr>
      <w:r>
        <w:t xml:space="preserve">Dhaka, the capital of Bangladesh, is among the fastest-growing megacities in South Asia. Rapid, largely unplanned horizontal expansion since the 1990s has converted agricultural land, wetlands, and vegetated open space into built-up area, a process widely documented in the remote-sensing literature on South Asian megacities. Urban green space — parks, tree cover, urban agriculture, and vegetated open land — provides shading, evapotranspirative cooling, stormwater absorption, and recreational and psychological benefits. Its loss is mechanistically linked, through the urban heat island (UHI) literature, to elevated land surface temperature (LST), and by extension to plausible downstream effects on heat exposure, respiratory and cardiovascular health, and household economic burden (e.g., cooling-energy demand).</w:t>
      </w:r>
    </w:p>
    <w:p>
      <w:pPr>
        <w:spacing w:after="150"/>
      </w:pPr>
      <w:r>
        <w:t xml:space="preserve">This project treats that causal chain as a hypothesis to be tested with available data, not as an established fact. Each link (green-space loss → heat → health → economy) is analyzed with the statistical method appropriate to the data actually available, and every claim beyond direct measurement is labeled as an association, estimate, or model-based scenario.</w:t>
      </w:r>
    </w:p>
    <w:p>
      <w:pPr>
        <w:pStyle w:val="Heading2"/>
        <w:spacing w:after="150" w:before="300"/>
      </w:pPr>
      <w:r>
        <w:t xml:space="preserve">1.2 Problem Statement</w:t>
      </w:r>
    </w:p>
    <w:p>
      <w:pPr>
        <w:spacing w:after="150"/>
      </w:pPr>
      <w:r>
        <w:t xml:space="preserve">Existing Dhaka-focused studies typically examine only one or two components of this chain — e.g., NDVI/LST correlation, or land-use change alone — without integrating environmental, demographic, health, and economic data into a single spatial-temporal framework, and without a validated future scenario. This creates a gap between remote-sensing findings and the socioeconomic evidence planners need for adaptation policy.</w:t>
      </w:r>
    </w:p>
    <w:p>
      <w:pPr>
        <w:pStyle w:val="Heading2"/>
        <w:spacing w:after="150" w:before="300"/>
      </w:pPr>
      <w:r>
        <w:t xml:space="preserve">1.3 Research Gap</w:t>
      </w:r>
    </w:p>
    <w:p>
      <w:pPr>
        <w:spacing w:after="150"/>
      </w:pPr>
      <w:r>
        <w:t xml:space="preserve">To be finalized in Chapter 2 after a systematic literature search (Phase 2). Preliminary gap statement, to be confirmed or revised against the literature:</w:t>
      </w:r>
    </w:p>
    <w:p>
      <w:pPr>
        <w:pStyle w:val="ListParagraph"/>
        <w:numPr>
          <w:ilvl w:val="0"/>
          <w:numId w:val="2"/>
        </w:numPr>
        <w:spacing w:after="60"/>
      </w:pPr>
      <w:r>
        <w:t xml:space="preserve">Most Dhaka studies analyze NDVI, NDBI, or LST in isolation rather than jointly.</w:t>
      </w:r>
    </w:p>
    <w:p>
      <w:pPr>
        <w:pStyle w:val="ListParagraph"/>
        <w:numPr>
          <w:ilvl w:val="0"/>
          <w:numId w:val="2"/>
        </w:numPr>
        <w:spacing w:after="60"/>
      </w:pPr>
      <w:r>
        <w:t xml:space="preserve">Few studies distinguish nighttime LST from daytime LST, or LST from near-surface air temperature.</w:t>
      </w:r>
    </w:p>
    <w:p>
      <w:pPr>
        <w:pStyle w:val="ListParagraph"/>
        <w:numPr>
          <w:ilvl w:val="0"/>
          <w:numId w:val="2"/>
        </w:numPr>
        <w:spacing w:after="60"/>
      </w:pPr>
      <w:r>
        <w:t xml:space="preserve">Very few integrate ward/grid-level health or economic indicators with remote-sensing exposure variables.</w:t>
      </w:r>
    </w:p>
    <w:p>
      <w:pPr>
        <w:pStyle w:val="ListParagraph"/>
        <w:numPr>
          <w:ilvl w:val="0"/>
          <w:numId w:val="2"/>
        </w:numPr>
        <w:spacing w:after="60"/>
      </w:pPr>
      <w:r>
        <w:t xml:space="preserve">Machine-learning-based 2030 scenario modelling with explicit validation (train/test, uncertainty) is rare in the Dhaka literature.</w:t>
      </w:r>
    </w:p>
    <w:p>
      <w:pPr>
        <w:pStyle w:val="Heading2"/>
        <w:spacing w:after="150" w:before="300"/>
      </w:pPr>
      <w:r>
        <w:t xml:space="preserve">1.4 Research Questions</w:t>
      </w:r>
    </w:p>
    <w:p>
      <w:pPr>
        <w:pStyle w:val="ListParagraph"/>
        <w:numPr>
          <w:ilvl w:val="0"/>
          <w:numId w:val="2"/>
        </w:numPr>
        <w:spacing w:after="60"/>
      </w:pPr>
      <w:r>
        <w:t xml:space="preserve">RQ1: How has green-space extent and spatial distribution in Dhaka changed between 2000 and 2025?</w:t>
      </w:r>
    </w:p>
    <w:p>
      <w:pPr>
        <w:pStyle w:val="ListParagraph"/>
        <w:numPr>
          <w:ilvl w:val="0"/>
          <w:numId w:val="2"/>
        </w:numPr>
        <w:spacing w:after="60"/>
      </w:pPr>
      <w:r>
        <w:t xml:space="preserve">RQ2: Where and when did the largest losses occur, and how do they relate to built-up expansion?</w:t>
      </w:r>
    </w:p>
    <w:p>
      <w:pPr>
        <w:pStyle w:val="ListParagraph"/>
        <w:numPr>
          <w:ilvl w:val="0"/>
          <w:numId w:val="2"/>
        </w:numPr>
        <w:spacing w:after="60"/>
      </w:pPr>
      <w:r>
        <w:t xml:space="preserve">RQ3: Is there a measurable association between vegetation loss/built-up gain and land surface temperature (day and night)?</w:t>
      </w:r>
    </w:p>
    <w:p>
      <w:pPr>
        <w:pStyle w:val="ListParagraph"/>
        <w:numPr>
          <w:ilvl w:val="0"/>
          <w:numId w:val="2"/>
        </w:numPr>
        <w:spacing w:after="60"/>
      </w:pPr>
      <w:r>
        <w:t xml:space="preserve">RQ4: Where reliable data exist, is there an association between heat/vegetation exposure and health-related or economic indicators?</w:t>
      </w:r>
    </w:p>
    <w:p>
      <w:pPr>
        <w:pStyle w:val="ListParagraph"/>
        <w:numPr>
          <w:ilvl w:val="0"/>
          <w:numId w:val="2"/>
        </w:numPr>
        <w:spacing w:after="60"/>
      </w:pPr>
      <w:r>
        <w:t xml:space="preserve">RQ5: What does a validated model project for green space, built-up extent, and LST in 2030, and with what uncertainty?</w:t>
      </w:r>
    </w:p>
    <w:p>
      <w:pPr>
        <w:pStyle w:val="Heading2"/>
        <w:spacing w:after="150" w:before="300"/>
      </w:pPr>
      <w:r>
        <w:t xml:space="preserve">1.5 Objectives</w:t>
      </w:r>
    </w:p>
    <w:p>
      <w:pPr>
        <w:pStyle w:val="ListParagraph"/>
        <w:numPr>
          <w:ilvl w:val="0"/>
          <w:numId w:val="2"/>
        </w:numPr>
        <w:spacing w:after="60"/>
      </w:pPr>
      <w:r>
        <w:t xml:space="preserve">Quantify historical green-space and built-up change in Dhaka, 2000–2025, at approximately 5-year intervals.</w:t>
      </w:r>
    </w:p>
    <w:p>
      <w:pPr>
        <w:pStyle w:val="ListParagraph"/>
        <w:numPr>
          <w:ilvl w:val="0"/>
          <w:numId w:val="2"/>
        </w:numPr>
        <w:spacing w:after="60"/>
      </w:pPr>
      <w:r>
        <w:t xml:space="preserve">Characterize the statistical relationship between vegetation/built-up indices and land surface temperature.</w:t>
      </w:r>
    </w:p>
    <w:p>
      <w:pPr>
        <w:pStyle w:val="ListParagraph"/>
        <w:numPr>
          <w:ilvl w:val="0"/>
          <w:numId w:val="2"/>
        </w:numPr>
        <w:spacing w:after="60"/>
      </w:pPr>
      <w:r>
        <w:t xml:space="preserve">Assess spatial patterns of population, health, and economic exposure relative to heat and green-space loss, using the best available proxy data where direct data are missing.</w:t>
      </w:r>
    </w:p>
    <w:p>
      <w:pPr>
        <w:pStyle w:val="ListParagraph"/>
        <w:numPr>
          <w:ilvl w:val="0"/>
          <w:numId w:val="2"/>
        </w:numPr>
        <w:spacing w:after="60"/>
      </w:pPr>
      <w:r>
        <w:t xml:space="preserve">Develop and validate a machine-learning-based 2030 scenario for green space, built-up extent, and LST.</w:t>
      </w:r>
    </w:p>
    <w:p>
      <w:pPr>
        <w:pStyle w:val="ListParagraph"/>
        <w:numPr>
          <w:ilvl w:val="0"/>
          <w:numId w:val="2"/>
        </w:numPr>
        <w:spacing w:after="60"/>
      </w:pPr>
      <w:r>
        <w:t xml:space="preserve">Translate findings into planning-relevant, SDG-aligned recommendations.</w:t>
      </w:r>
    </w:p>
    <w:p>
      <w:pPr>
        <w:pStyle w:val="Heading2"/>
        <w:spacing w:after="150" w:before="300"/>
      </w:pPr>
      <w:r>
        <w:t xml:space="preserve">1.6 Significance</w:t>
      </w:r>
    </w:p>
    <w:p>
      <w:pPr>
        <w:spacing w:after="150"/>
      </w:pPr>
      <w:r>
        <w:t xml:space="preserve">The project produces a reproducible, ward/grid-resolution evidence base linking environmental change to social outcomes — useful for Dhaka North/South City Corporation planning, RAJUK's DMDP revisions, and climate adaptation programming under Bangladesh's NDC and NAP commitments.</w:t>
      </w:r>
    </w:p>
    <w:p>
      <w:pPr>
        <w:pStyle w:val="Heading2"/>
        <w:spacing w:after="150" w:before="300"/>
      </w:pPr>
      <w:r>
        <w:t xml:space="preserve">1.7 Scope</w:t>
      </w:r>
    </w:p>
    <w:p>
      <w:pPr>
        <w:spacing w:after="150"/>
      </w:pPr>
      <w:r>
        <w:t xml:space="preserve">Geographic scope: Dhaka North and South City Corporation area (see Chapter on Study Area). Temporal scope: 2000–2025 historical, 2030 projected. Thematic scope: vegetation/built-up remote sensing, land surface temperature, and their statistical association with population, health, and economic indicators, at the spatial and temporal resolution the underlying data support.</w:t>
      </w:r>
    </w:p>
    <w:p>
      <w:pPr>
        <w:pStyle w:val="Heading2"/>
        <w:spacing w:after="150" w:before="300"/>
      </w:pPr>
      <w:r>
        <w:t xml:space="preserve">1.8 Limitations (stated up front)</w:t>
      </w:r>
    </w:p>
    <w:p>
      <w:pPr>
        <w:pStyle w:val="ListParagraph"/>
        <w:numPr>
          <w:ilvl w:val="0"/>
          <w:numId w:val="2"/>
        </w:numPr>
        <w:spacing w:after="60"/>
      </w:pPr>
      <w:r>
        <w:t xml:space="preserve">Health and economic data in Bangladesh are rarely available at ward-level annual resolution; where only district- or national-level or survey-year data exist, this is stated explicitly and treated as a proxy, not a ward-level measurement.</w:t>
      </w:r>
    </w:p>
    <w:p>
      <w:pPr>
        <w:pStyle w:val="ListParagraph"/>
        <w:numPr>
          <w:ilvl w:val="0"/>
          <w:numId w:val="2"/>
        </w:numPr>
        <w:spacing w:after="60"/>
      </w:pPr>
      <w:r>
        <w:t xml:space="preserve">Satellite thermal bands (Landsat TIRS, MODIS LST) have coarser spatial resolution (60–120 m thermal, resampled to 30m; MODIS ~1 km) than the 30 m NDVI/NDBI grids; nighttime coverage is more limited than daytime.</w:t>
      </w:r>
    </w:p>
    <w:p>
      <w:pPr>
        <w:pStyle w:val="ListParagraph"/>
        <w:numPr>
          <w:ilvl w:val="0"/>
          <w:numId w:val="2"/>
        </w:numPr>
        <w:spacing w:after="60"/>
      </w:pPr>
      <w:r>
        <w:t xml:space="preserve">Any statistical association reported is not evidence of individual-level causation; the design is ecological/area-level.</w:t>
      </w:r>
    </w:p>
    <w:p>
      <w:pPr>
        <w:pStyle w:val="ListParagraph"/>
        <w:numPr>
          <w:ilvl w:val="0"/>
          <w:numId w:val="2"/>
        </w:numPr>
        <w:spacing w:after="60"/>
      </w:pPr>
      <w:r>
        <w:t xml:space="preserve">The 2030 outputs are model-based projections under a business-as-usual trend assumption, not guaranteed outcomes.</w:t>
      </w:r>
    </w:p>
    <w:p>
      <w:r>
        <w:br w:type="page"/>
      </w:r>
    </w:p>
    <w:p>
      <w:pPr>
        <w:pStyle w:val="Heading1"/>
        <w:spacing w:after="200" w:before="400"/>
      </w:pPr>
      <w:r>
        <w:t xml:space="preserve">Study Area Definition</w:t>
      </w:r>
    </w:p>
    <w:p>
      <w:pPr>
        <w:spacing w:after="150"/>
      </w:pPr>
      <w:r>
        <w:t xml:space="preserve">Two nested boundaries are used, consistent with Section 2 of your brief: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419"/>
        <w:gridCol w:w="1814"/>
        <w:gridCol w:w="1814"/>
        <w:gridCol w:w="2016"/>
      </w:tblGrid>
      <w:tr>
        <w:trPr>
          <w:tblHeader/>
        </w:trPr>
        <w:tc>
          <w:tcPr>
            <w:tcW w:type="dxa" w:w="2016"/>
            <w:shd w:fill="1F3864" w:val="clear"/>
          </w:tcPr>
          <w:p>
            <w:r>
              <w:rPr>
                <w:b/>
                <w:bCs/>
                <w:color w:val="FFFFFF"/>
                <w:sz w:val="18"/>
                <w:szCs w:val="18"/>
              </w:rPr>
              <w:t xml:space="preserve">Boundary</w:t>
            </w:r>
          </w:p>
        </w:tc>
        <w:tc>
          <w:tcPr>
            <w:tcW w:type="dxa" w:w="2419"/>
            <w:shd w:fill="1F3864" w:val="clear"/>
          </w:tcPr>
          <w:p>
            <w:r>
              <w:rPr>
                <w:b/>
                <w:bCs/>
                <w:color w:val="FFFFFF"/>
                <w:sz w:val="18"/>
                <w:szCs w:val="18"/>
              </w:rPr>
              <w:t xml:space="preserve">Use</w:t>
            </w:r>
          </w:p>
        </w:tc>
        <w:tc>
          <w:tcPr>
            <w:tcW w:type="dxa" w:w="1814"/>
            <w:shd w:fill="1F3864" w:val="clear"/>
          </w:tcPr>
          <w:p>
            <w:r>
              <w:rPr>
                <w:b/>
                <w:bCs/>
                <w:color w:val="FFFFFF"/>
                <w:sz w:val="18"/>
                <w:szCs w:val="18"/>
              </w:rPr>
              <w:t xml:space="preserve">Area</w:t>
            </w:r>
          </w:p>
        </w:tc>
        <w:tc>
          <w:tcPr>
            <w:tcW w:type="dxa" w:w="1814"/>
            <w:shd w:fill="1F3864" w:val="clear"/>
          </w:tcPr>
          <w:p>
            <w:r>
              <w:rPr>
                <w:b/>
                <w:bCs/>
                <w:color w:val="FFFFFF"/>
                <w:sz w:val="18"/>
                <w:szCs w:val="18"/>
              </w:rPr>
              <w:t xml:space="preserve">Population (2022 census)</w:t>
            </w:r>
          </w:p>
        </w:tc>
        <w:tc>
          <w:tcPr>
            <w:tcW w:type="dxa" w:w="2016"/>
            <w:shd w:fill="1F3864" w:val="clear"/>
          </w:tcPr>
          <w:p>
            <w:r>
              <w:rPr>
                <w:b/>
                <w:bCs/>
                <w:color w:val="FFFFFF"/>
                <w:sz w:val="18"/>
                <w:szCs w:val="18"/>
              </w:rPr>
              <w:t xml:space="preserve">Rationale</w:t>
            </w:r>
          </w:p>
        </w:tc>
      </w:tr>
      <w:tr>
        <w:tc>
          <w:tcPr>
            <w:tcW w:type="dxa" w:w="2016"/>
            <w:shd w:fill="FFFFFF" w:val="clear"/>
          </w:tcPr>
          <w:p>
            <w:r>
              <w:rPr>
                <w:sz w:val="18"/>
                <w:szCs w:val="18"/>
              </w:rPr>
              <w:t xml:space="preserve">Core analysis boundary: Dhaka North City Corporation (DNCC) + Dhaka South City Corporation (DSCC)</w:t>
            </w:r>
          </w:p>
        </w:tc>
        <w:tc>
          <w:tcPr>
            <w:tcW w:type="dxa" w:w="2419"/>
            <w:shd w:fill="FFFFFF" w:val="clear"/>
          </w:tcPr>
          <w:p>
            <w:r>
              <w:rPr>
                <w:sz w:val="18"/>
                <w:szCs w:val="18"/>
              </w:rPr>
              <w:t xml:space="preserve">Primary boundary for NDVI/NDBI/LST time series, green-space accounting, and ward-level statistical analysis</w:t>
            </w:r>
          </w:p>
        </w:tc>
        <w:tc>
          <w:tcPr>
            <w:tcW w:type="dxa" w:w="1814"/>
            <w:shd w:fill="FFFFFF" w:val="clear"/>
          </w:tcPr>
          <w:p>
            <w:r>
              <w:rPr>
                <w:sz w:val="18"/>
                <w:szCs w:val="18"/>
              </w:rPr>
              <w:t xml:space="preserve">196.22 km² (DNCC) + 109.25 km² (DSCC) = 305.47 km²</w:t>
            </w:r>
          </w:p>
        </w:tc>
        <w:tc>
          <w:tcPr>
            <w:tcW w:type="dxa" w:w="1814"/>
            <w:shd w:fill="FFFFFF" w:val="clear"/>
          </w:tcPr>
          <w:p>
            <w:r>
              <w:rPr>
                <w:sz w:val="18"/>
                <w:szCs w:val="18"/>
              </w:rPr>
              <w:t xml:space="preserve">5,990,723 (DNCC) + 4,305,063 (DSCC) ≈ 10.30 million</w:t>
            </w:r>
          </w:p>
        </w:tc>
        <w:tc>
          <w:tcPr>
            <w:tcW w:type="dxa" w:w="2016"/>
            <w:shd w:fill="FFFFFF" w:val="clear"/>
          </w:tcPr>
          <w:p>
            <w:r>
              <w:rPr>
                <w:sz w:val="18"/>
                <w:szCs w:val="18"/>
              </w:rPr>
              <w:t xml:space="preserve">This is the officially administered, ward-demarcated ‘Dhaka City’ unit; ward boundaries give a stable, GIS-ready spatial unit for every historical year and match how BBS and the city corporations publish data.</w:t>
            </w:r>
          </w:p>
        </w:tc>
      </w:tr>
      <w:tr>
        <w:tc>
          <w:tcPr>
            <w:tcW w:type="dxa" w:w="2016"/>
            <w:shd w:fill="F2F2F2" w:val="clear"/>
          </w:tcPr>
          <w:p>
            <w:r>
              <w:rPr>
                <w:sz w:val="18"/>
                <w:szCs w:val="18"/>
              </w:rPr>
              <w:t xml:space="preserve">Context boundary: Dhaka Metropolitan Development Plan (DMDP) area</w:t>
            </w:r>
          </w:p>
        </w:tc>
        <w:tc>
          <w:tcPr>
            <w:tcW w:type="dxa" w:w="2419"/>
            <w:shd w:fill="F2F2F2" w:val="clear"/>
          </w:tcPr>
          <w:p>
            <w:r>
              <w:rPr>
                <w:sz w:val="18"/>
                <w:szCs w:val="18"/>
              </w:rPr>
              <w:t xml:space="preserve">Used only for context maps / discussion of peri-urban expansion pressure, not for the core time series</w:t>
            </w:r>
          </w:p>
        </w:tc>
        <w:tc>
          <w:tcPr>
            <w:tcW w:type="dxa" w:w="1814"/>
            <w:shd w:fill="F2F2F2" w:val="clear"/>
          </w:tcPr>
          <w:p>
            <w:r>
              <w:rPr>
                <w:sz w:val="18"/>
                <w:szCs w:val="18"/>
              </w:rPr>
              <w:t xml:space="preserve">≈ 1,528 km² (RAJUK Structure Plan area)</w:t>
            </w:r>
          </w:p>
        </w:tc>
        <w:tc>
          <w:tcPr>
            <w:tcW w:type="dxa" w:w="1814"/>
            <w:shd w:fill="F2F2F2" w:val="clear"/>
          </w:tcPr>
          <w:p>
            <w:r>
              <w:rPr>
                <w:sz w:val="18"/>
                <w:szCs w:val="18"/>
              </w:rPr>
              <w:t xml:space="preserve">≈ 22–24 million (Greater Dhaka, 2024 estimate)</w:t>
            </w:r>
          </w:p>
        </w:tc>
        <w:tc>
          <w:tcPr>
            <w:tcW w:type="dxa" w:w="2016"/>
            <w:shd w:fill="F2F2F2" w:val="clear"/>
          </w:tcPr>
          <w:p>
            <w:r>
              <w:rPr>
                <w:sz w:val="18"/>
                <w:szCs w:val="18"/>
              </w:rPr>
              <w:t xml:space="preserve">Shows the wider urbanizing region (Savar, Keraniganj, Gazipur fringe) that drives pressure on the core city but falls outside city-corporation jurisdiction.</w:t>
            </w:r>
          </w:p>
        </w:tc>
      </w:tr>
    </w:tbl>
    <w:p>
      <w:pPr>
        <w:spacing w:after="150"/>
      </w:pPr>
      <w:r>
        <w:t xml:space="preserve">Recommendation: run every raster year on the fixed DNCC+DSCC ward boundary (129 wards: 54 DNCC + 75 DSCC), reprojected to a single CRS (EPSG:32646, WGS 84 / UTM zone 46N) and clipped to the identical polygon for 2000–2025, per your instruction to keep the boundary constant across years.</w:t>
      </w:r>
    </w:p>
    <w:p>
      <w:pPr>
        <w:spacing w:after="150"/>
      </w:pPr>
      <w:r>
        <w:t xml:space="preserve">Approximate geographic extent: 90.33–90.48°E, 23.68–23.90°N (to be refined once the exact ward-boundary shapefile, e.g., from BBS/DCC GIS unit or HDX/geoBoundaries, is loaded).</w:t>
      </w:r>
    </w:p>
    <w:p>
      <w:pPr>
        <w:spacing w:after="150"/>
      </w:pPr>
      <w:r>
        <w:rPr>
          <w:i/>
          <w:iCs/>
          <w:color w:val="555555"/>
        </w:rPr>
        <w:t xml:space="preserve">Data unavailable / to confirm: an authoritative, versioned ward-boundary shapefile matching the 2022 census ward definitions. Recommended sources: Bangladesh Bureau of Statistics GIS unit, Humanitarian Data Exchange (HDX) Bangladesh admin boundaries, or DNCC/DSCC open-data portals. This should be the first file you obtain, since every subsequent raster and table is clipped/joined to it.</w:t>
      </w:r>
    </w:p>
    <w:p>
      <w:pPr>
        <w:spacing w:after="150"/>
      </w:pPr>
      <w:r>
        <w:t xml:space="preserve">Major green-space areas to include in validation/visual checks: Ramna Park, Suhrawardy Udyan, Baldha Garden, Dhaka University campus green belt, Gulshan/Baridhara lake-and-park corridor, National Botanical Garden and Bangabandhu Safari Park (Mirpur, at the DNCC edge), Hatirjheel water-and-green corridor, and remaining agricultural/fallow land at the northern and eastern fringes (Uttara 3rd phase, Purbachal edge).</w:t>
      </w:r>
    </w:p>
    <w:p>
      <w:pPr>
        <w:spacing w:after="150"/>
      </w:pPr>
      <w:r>
        <w:t xml:space="preserve">Major built-up cores: Old Dhaka (Dhaka South), Motijheel CBD, Gulshan–Banani–Baridhara, Mirpur, Mohammadpur, Uttara.</w:t>
      </w:r>
    </w:p>
    <w:p>
      <w:r>
        <w:br w:type="page"/>
      </w:r>
    </w:p>
    <w:p>
      <w:pPr>
        <w:pStyle w:val="Heading1"/>
        <w:spacing w:after="200" w:before="400"/>
      </w:pPr>
      <w:r>
        <w:t xml:space="preserve">Full Data Source Inventory</w:t>
      </w:r>
    </w:p>
    <w:p>
      <w:pPr>
        <w:pStyle w:val="Heading2"/>
        <w:spacing w:after="150" w:before="300"/>
      </w:pPr>
      <w:r>
        <w:t xml:space="preserve">A. Satellite / Remote Sensing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2016"/>
        <w:gridCol w:w="2218"/>
        <w:gridCol w:w="1411"/>
        <w:gridCol w:w="1210"/>
        <w:gridCol w:w="1613"/>
      </w:tblGrid>
      <w:tr>
        <w:trPr>
          <w:tblHeader/>
        </w:trPr>
        <w:tc>
          <w:tcPr>
            <w:tcW w:type="dxa" w:w="1613"/>
            <w:shd w:fill="1F3864" w:val="clear"/>
          </w:tcPr>
          <w:p>
            <w:r>
              <w:rPr>
                <w:b/>
                <w:bCs/>
                <w:color w:val="FFFFFF"/>
                <w:sz w:val="18"/>
                <w:szCs w:val="18"/>
              </w:rPr>
              <w:t xml:space="preserve">Dataset</w:t>
            </w:r>
          </w:p>
        </w:tc>
        <w:tc>
          <w:tcPr>
            <w:tcW w:type="dxa" w:w="2016"/>
            <w:shd w:fill="1F3864" w:val="clear"/>
          </w:tcPr>
          <w:p>
            <w:r>
              <w:rPr>
                <w:b/>
                <w:bCs/>
                <w:color w:val="FFFFFF"/>
                <w:sz w:val="18"/>
                <w:szCs w:val="18"/>
              </w:rPr>
              <w:t xml:space="preserve">Variable(s)</w:t>
            </w:r>
          </w:p>
        </w:tc>
        <w:tc>
          <w:tcPr>
            <w:tcW w:type="dxa" w:w="2218"/>
            <w:shd w:fill="1F3864" w:val="clear"/>
          </w:tcPr>
          <w:p>
            <w:r>
              <w:rPr>
                <w:b/>
                <w:bCs/>
                <w:color w:val="FFFFFF"/>
                <w:sz w:val="18"/>
                <w:szCs w:val="18"/>
              </w:rPr>
              <w:t xml:space="preserve">Source</w:t>
            </w:r>
          </w:p>
        </w:tc>
        <w:tc>
          <w:tcPr>
            <w:tcW w:type="dxa" w:w="1411"/>
            <w:shd w:fill="1F3864" w:val="clear"/>
          </w:tcPr>
          <w:p>
            <w:r>
              <w:rPr>
                <w:b/>
                <w:bCs/>
                <w:color w:val="FFFFFF"/>
                <w:sz w:val="18"/>
                <w:szCs w:val="18"/>
              </w:rPr>
              <w:t xml:space="preserve">Years</w:t>
            </w:r>
          </w:p>
        </w:tc>
        <w:tc>
          <w:tcPr>
            <w:tcW w:type="dxa" w:w="1210"/>
            <w:shd w:fill="1F3864" w:val="clear"/>
          </w:tcPr>
          <w:p>
            <w:r>
              <w:rPr>
                <w:b/>
                <w:bCs/>
                <w:color w:val="FFFFFF"/>
                <w:sz w:val="18"/>
                <w:szCs w:val="18"/>
              </w:rPr>
              <w:t xml:space="preserve">Spatial Res.</w:t>
            </w:r>
          </w:p>
        </w:tc>
        <w:tc>
          <w:tcPr>
            <w:tcW w:type="dxa" w:w="1613"/>
            <w:shd w:fill="1F3864" w:val="clear"/>
          </w:tcPr>
          <w:p>
            <w:r>
              <w:rPr>
                <w:b/>
                <w:bCs/>
                <w:color w:val="FFFFFF"/>
                <w:sz w:val="18"/>
                <w:szCs w:val="18"/>
              </w:rPr>
              <w:t xml:space="preserve">Notes</w:t>
            </w:r>
          </w:p>
        </w:tc>
      </w:tr>
      <w:tr>
        <w:tc>
          <w:tcPr>
            <w:tcW w:type="dxa" w:w="1613"/>
            <w:shd w:fill="FFFFFF" w:val="clear"/>
          </w:tcPr>
          <w:p>
            <w:r>
              <w:rPr>
                <w:sz w:val="18"/>
                <w:szCs w:val="18"/>
              </w:rPr>
              <w:t xml:space="preserve">Landsat 5 TM</w:t>
            </w:r>
          </w:p>
        </w:tc>
        <w:tc>
          <w:tcPr>
            <w:tcW w:type="dxa" w:w="2016"/>
            <w:shd w:fill="FFFFFF" w:val="clear"/>
          </w:tcPr>
          <w:p>
            <w:r>
              <w:rPr>
                <w:sz w:val="18"/>
                <w:szCs w:val="18"/>
              </w:rPr>
              <w:t xml:space="preserve">Red, NIR, SWIR, Thermal (Band 6)</w:t>
            </w:r>
          </w:p>
        </w:tc>
        <w:tc>
          <w:tcPr>
            <w:tcW w:type="dxa" w:w="2218"/>
            <w:shd w:fill="FFFFFF" w:val="clear"/>
          </w:tcPr>
          <w:p>
            <w:r>
              <w:rPr>
                <w:sz w:val="18"/>
                <w:szCs w:val="18"/>
              </w:rPr>
              <w:t xml:space="preserve">USGS EarthExplorer / GEE (LANDSAT/LT05/C02/T1_L2)</w:t>
            </w:r>
          </w:p>
        </w:tc>
        <w:tc>
          <w:tcPr>
            <w:tcW w:type="dxa" w:w="1411"/>
            <w:shd w:fill="FFFFFF" w:val="clear"/>
          </w:tcPr>
          <w:p>
            <w:r>
              <w:rPr>
                <w:sz w:val="18"/>
                <w:szCs w:val="18"/>
              </w:rPr>
              <w:t xml:space="preserve">2000, 2005, 2010</w:t>
            </w:r>
          </w:p>
        </w:tc>
        <w:tc>
          <w:tcPr>
            <w:tcW w:type="dxa" w:w="1210"/>
            <w:shd w:fill="FFFFFF" w:val="clear"/>
          </w:tcPr>
          <w:p>
            <w:r>
              <w:rPr>
                <w:sz w:val="18"/>
                <w:szCs w:val="18"/>
              </w:rPr>
              <w:t xml:space="preserve">30 m (thermal resampled from 120 m)</w:t>
            </w:r>
          </w:p>
        </w:tc>
        <w:tc>
          <w:tcPr>
            <w:tcW w:type="dxa" w:w="1613"/>
            <w:shd w:fill="FFFFFF" w:val="clear"/>
          </w:tcPr>
          <w:p>
            <w:r>
              <w:rPr>
                <w:sz w:val="18"/>
                <w:szCs w:val="18"/>
              </w:rPr>
              <w:t xml:space="preserve">Prefer Nov–Feb dry-season, &lt;10% cloud scenes over the study area</w:t>
            </w:r>
          </w:p>
        </w:tc>
      </w:tr>
      <w:tr>
        <w:tc>
          <w:tcPr>
            <w:tcW w:type="dxa" w:w="1613"/>
            <w:shd w:fill="F2F2F2" w:val="clear"/>
          </w:tcPr>
          <w:p>
            <w:r>
              <w:rPr>
                <w:sz w:val="18"/>
                <w:szCs w:val="18"/>
              </w:rPr>
              <w:t xml:space="preserve">Landsat 7 ETM+</w:t>
            </w:r>
          </w:p>
        </w:tc>
        <w:tc>
          <w:tcPr>
            <w:tcW w:type="dxa" w:w="2016"/>
            <w:shd w:fill="F2F2F2" w:val="clear"/>
          </w:tcPr>
          <w:p>
            <w:r>
              <w:rPr>
                <w:sz w:val="18"/>
                <w:szCs w:val="18"/>
              </w:rPr>
              <w:t xml:space="preserve">Red, NIR, SWIR, Thermal</w:t>
            </w:r>
          </w:p>
        </w:tc>
        <w:tc>
          <w:tcPr>
            <w:tcW w:type="dxa" w:w="2218"/>
            <w:shd w:fill="F2F2F2" w:val="clear"/>
          </w:tcPr>
          <w:p>
            <w:r>
              <w:rPr>
                <w:sz w:val="18"/>
                <w:szCs w:val="18"/>
              </w:rPr>
              <w:t xml:space="preserve">USGS / GEE (LANDSAT/LE07/C02/T1_L2)</w:t>
            </w:r>
          </w:p>
        </w:tc>
        <w:tc>
          <w:tcPr>
            <w:tcW w:type="dxa" w:w="1411"/>
            <w:shd w:fill="F2F2F2" w:val="clear"/>
          </w:tcPr>
          <w:p>
            <w:r>
              <w:rPr>
                <w:sz w:val="18"/>
                <w:szCs w:val="18"/>
              </w:rPr>
              <w:t xml:space="preserve">backup for 2000–2012</w:t>
            </w:r>
          </w:p>
        </w:tc>
        <w:tc>
          <w:tcPr>
            <w:tcW w:type="dxa" w:w="1210"/>
            <w:shd w:fill="F2F2F2" w:val="clear"/>
          </w:tcPr>
          <w:p>
            <w:r>
              <w:rPr>
                <w:sz w:val="18"/>
                <w:szCs w:val="18"/>
              </w:rPr>
              <w:t xml:space="preserve">30 m (thermal 60 m)</w:t>
            </w:r>
          </w:p>
        </w:tc>
        <w:tc>
          <w:tcPr>
            <w:tcW w:type="dxa" w:w="1613"/>
            <w:shd w:fill="F2F2F2" w:val="clear"/>
          </w:tcPr>
          <w:p>
            <w:r>
              <w:rPr>
                <w:sz w:val="18"/>
                <w:szCs w:val="18"/>
              </w:rPr>
              <w:t xml:space="preserve">Note SLC-off gaps post-2003; avoid or gap-fill</w:t>
            </w:r>
          </w:p>
        </w:tc>
      </w:tr>
      <w:tr>
        <w:tc>
          <w:tcPr>
            <w:tcW w:type="dxa" w:w="1613"/>
            <w:shd w:fill="FFFFFF" w:val="clear"/>
          </w:tcPr>
          <w:p>
            <w:r>
              <w:rPr>
                <w:sz w:val="18"/>
                <w:szCs w:val="18"/>
              </w:rPr>
              <w:t xml:space="preserve">Landsat 8/9 OLI/TIRS</w:t>
            </w:r>
          </w:p>
        </w:tc>
        <w:tc>
          <w:tcPr>
            <w:tcW w:type="dxa" w:w="2016"/>
            <w:shd w:fill="FFFFFF" w:val="clear"/>
          </w:tcPr>
          <w:p>
            <w:r>
              <w:rPr>
                <w:sz w:val="18"/>
                <w:szCs w:val="18"/>
              </w:rPr>
              <w:t xml:space="preserve">Red, NIR, SWIR, Thermal (Bands 10/11)</w:t>
            </w:r>
          </w:p>
        </w:tc>
        <w:tc>
          <w:tcPr>
            <w:tcW w:type="dxa" w:w="2218"/>
            <w:shd w:fill="FFFFFF" w:val="clear"/>
          </w:tcPr>
          <w:p>
            <w:r>
              <w:rPr>
                <w:sz w:val="18"/>
                <w:szCs w:val="18"/>
              </w:rPr>
              <w:t xml:space="preserve">USGS / GEE (LANDSAT/LC08/C02/T1_L2, LC09)</w:t>
            </w:r>
          </w:p>
        </w:tc>
        <w:tc>
          <w:tcPr>
            <w:tcW w:type="dxa" w:w="1411"/>
            <w:shd w:fill="FFFFFF" w:val="clear"/>
          </w:tcPr>
          <w:p>
            <w:r>
              <w:rPr>
                <w:sz w:val="18"/>
                <w:szCs w:val="18"/>
              </w:rPr>
              <w:t xml:space="preserve">2015, 2020, 2025</w:t>
            </w:r>
          </w:p>
        </w:tc>
        <w:tc>
          <w:tcPr>
            <w:tcW w:type="dxa" w:w="1210"/>
            <w:shd w:fill="FFFFFF" w:val="clear"/>
          </w:tcPr>
          <w:p>
            <w:r>
              <w:rPr>
                <w:sz w:val="18"/>
                <w:szCs w:val="18"/>
              </w:rPr>
              <w:t xml:space="preserve">30 m (thermal 100 m resampled)</w:t>
            </w:r>
          </w:p>
        </w:tc>
        <w:tc>
          <w:tcPr>
            <w:tcW w:type="dxa" w:w="1613"/>
            <w:shd w:fill="FFFFFF" w:val="clear"/>
          </w:tcPr>
          <w:p>
            <w:r>
              <w:rPr>
                <w:sz w:val="18"/>
                <w:szCs w:val="18"/>
              </w:rPr>
              <w:t xml:space="preserve">Use Collection 2 Level-2 (surface reflectance + surface temperature, already atmospherically corrected)</w:t>
            </w:r>
          </w:p>
        </w:tc>
      </w:tr>
      <w:tr>
        <w:tc>
          <w:tcPr>
            <w:tcW w:type="dxa" w:w="1613"/>
            <w:shd w:fill="F2F2F2" w:val="clear"/>
          </w:tcPr>
          <w:p>
            <w:r>
              <w:rPr>
                <w:sz w:val="18"/>
                <w:szCs w:val="18"/>
              </w:rPr>
              <w:t xml:space="preserve">Sentinel-2 MSI</w:t>
            </w:r>
          </w:p>
        </w:tc>
        <w:tc>
          <w:tcPr>
            <w:tcW w:type="dxa" w:w="2016"/>
            <w:shd w:fill="F2F2F2" w:val="clear"/>
          </w:tcPr>
          <w:p>
            <w:r>
              <w:rPr>
                <w:sz w:val="18"/>
                <w:szCs w:val="18"/>
              </w:rPr>
              <w:t xml:space="preserve">Red, NIR, SWIR (higher-res NDVI/NDBI cross-check)</w:t>
            </w:r>
          </w:p>
        </w:tc>
        <w:tc>
          <w:tcPr>
            <w:tcW w:type="dxa" w:w="2218"/>
            <w:shd w:fill="F2F2F2" w:val="clear"/>
          </w:tcPr>
          <w:p>
            <w:r>
              <w:rPr>
                <w:sz w:val="18"/>
                <w:szCs w:val="18"/>
              </w:rPr>
              <w:t xml:space="preserve">Copernicus / GEE (COPERNICUS/S2_SR_HARMONIZED)</w:t>
            </w:r>
          </w:p>
        </w:tc>
        <w:tc>
          <w:tcPr>
            <w:tcW w:type="dxa" w:w="1411"/>
            <w:shd w:fill="F2F2F2" w:val="clear"/>
          </w:tcPr>
          <w:p>
            <w:r>
              <w:rPr>
                <w:sz w:val="18"/>
                <w:szCs w:val="18"/>
              </w:rPr>
              <w:t xml:space="preserve">2015–2025 (available from 2015)</w:t>
            </w:r>
          </w:p>
        </w:tc>
        <w:tc>
          <w:tcPr>
            <w:tcW w:type="dxa" w:w="1210"/>
            <w:shd w:fill="F2F2F2" w:val="clear"/>
          </w:tcPr>
          <w:p>
            <w:r>
              <w:rPr>
                <w:sz w:val="18"/>
                <w:szCs w:val="18"/>
              </w:rPr>
              <w:t xml:space="preserve">10–20 m</w:t>
            </w:r>
          </w:p>
        </w:tc>
        <w:tc>
          <w:tcPr>
            <w:tcW w:type="dxa" w:w="1613"/>
            <w:shd w:fill="F2F2F2" w:val="clear"/>
          </w:tcPr>
          <w:p>
            <w:r>
              <w:rPr>
                <w:sz w:val="18"/>
                <w:szCs w:val="18"/>
              </w:rPr>
              <w:t xml:space="preserve">No thermal band; used only for vegetation/built-up cross-validation, not LST</w:t>
            </w:r>
          </w:p>
        </w:tc>
      </w:tr>
      <w:tr>
        <w:tc>
          <w:tcPr>
            <w:tcW w:type="dxa" w:w="1613"/>
            <w:shd w:fill="FFFFFF" w:val="clear"/>
          </w:tcPr>
          <w:p>
            <w:r>
              <w:rPr>
                <w:sz w:val="18"/>
                <w:szCs w:val="18"/>
              </w:rPr>
              <w:t xml:space="preserve">MODIS LST</w:t>
            </w:r>
          </w:p>
        </w:tc>
        <w:tc>
          <w:tcPr>
            <w:tcW w:type="dxa" w:w="2016"/>
            <w:shd w:fill="FFFFFF" w:val="clear"/>
          </w:tcPr>
          <w:p>
            <w:r>
              <w:rPr>
                <w:sz w:val="18"/>
                <w:szCs w:val="18"/>
              </w:rPr>
              <w:t xml:space="preserve">Day/Night LST (MOD11A2, 8-day composite)</w:t>
            </w:r>
          </w:p>
        </w:tc>
        <w:tc>
          <w:tcPr>
            <w:tcW w:type="dxa" w:w="2218"/>
            <w:shd w:fill="FFFFFF" w:val="clear"/>
          </w:tcPr>
          <w:p>
            <w:r>
              <w:rPr>
                <w:sz w:val="18"/>
                <w:szCs w:val="18"/>
              </w:rPr>
              <w:t xml:space="preserve">NASA LP DAAC / GEE (MODIS/061/MOD11A2)</w:t>
            </w:r>
          </w:p>
        </w:tc>
        <w:tc>
          <w:tcPr>
            <w:tcW w:type="dxa" w:w="1411"/>
            <w:shd w:fill="FFFFFF" w:val="clear"/>
          </w:tcPr>
          <w:p>
            <w:r>
              <w:rPr>
                <w:sz w:val="18"/>
                <w:szCs w:val="18"/>
              </w:rPr>
              <w:t xml:space="preserve">2000–2025 continuous</w:t>
            </w:r>
          </w:p>
        </w:tc>
        <w:tc>
          <w:tcPr>
            <w:tcW w:type="dxa" w:w="1210"/>
            <w:shd w:fill="FFFFFF" w:val="clear"/>
          </w:tcPr>
          <w:p>
            <w:r>
              <w:rPr>
                <w:sz w:val="18"/>
                <w:szCs w:val="18"/>
              </w:rPr>
              <w:t xml:space="preserve">1 km</w:t>
            </w:r>
          </w:p>
        </w:tc>
        <w:tc>
          <w:tcPr>
            <w:tcW w:type="dxa" w:w="1613"/>
            <w:shd w:fill="FFFFFF" w:val="clear"/>
          </w:tcPr>
          <w:p>
            <w:r>
              <w:rPr>
                <w:sz w:val="18"/>
                <w:szCs w:val="18"/>
              </w:rPr>
              <w:t xml:space="preserve">Provides genuine nighttime LST where Landsat cannot (Landsat is daytime-overpass only)</w:t>
            </w:r>
          </w:p>
        </w:tc>
      </w:tr>
      <w:tr>
        <w:tc>
          <w:tcPr>
            <w:tcW w:type="dxa" w:w="1613"/>
            <w:shd w:fill="F2F2F2" w:val="clear"/>
          </w:tcPr>
          <w:p>
            <w:r>
              <w:rPr>
                <w:sz w:val="18"/>
                <w:szCs w:val="18"/>
              </w:rPr>
              <w:t xml:space="preserve">VIIRS Nighttime Lights</w:t>
            </w:r>
          </w:p>
        </w:tc>
        <w:tc>
          <w:tcPr>
            <w:tcW w:type="dxa" w:w="2016"/>
            <w:shd w:fill="F2F2F2" w:val="clear"/>
          </w:tcPr>
          <w:p>
            <w:r>
              <w:rPr>
                <w:sz w:val="18"/>
                <w:szCs w:val="18"/>
              </w:rPr>
              <w:t xml:space="preserve">Proxy for built-up/economic activity intensity, not temperature</w:t>
            </w:r>
          </w:p>
        </w:tc>
        <w:tc>
          <w:tcPr>
            <w:tcW w:type="dxa" w:w="2218"/>
            <w:shd w:fill="F2F2F2" w:val="clear"/>
          </w:tcPr>
          <w:p>
            <w:r>
              <w:rPr>
                <w:sz w:val="18"/>
                <w:szCs w:val="18"/>
              </w:rPr>
              <w:t xml:space="preserve">NOAA VIIRS DNB / GEE</w:t>
            </w:r>
          </w:p>
        </w:tc>
        <w:tc>
          <w:tcPr>
            <w:tcW w:type="dxa" w:w="1411"/>
            <w:shd w:fill="F2F2F2" w:val="clear"/>
          </w:tcPr>
          <w:p>
            <w:r>
              <w:rPr>
                <w:sz w:val="18"/>
                <w:szCs w:val="18"/>
              </w:rPr>
              <w:t xml:space="preserve">2012–2025</w:t>
            </w:r>
          </w:p>
        </w:tc>
        <w:tc>
          <w:tcPr>
            <w:tcW w:type="dxa" w:w="1210"/>
            <w:shd w:fill="F2F2F2" w:val="clear"/>
          </w:tcPr>
          <w:p>
            <w:r>
              <w:rPr>
                <w:sz w:val="18"/>
                <w:szCs w:val="18"/>
              </w:rPr>
              <w:t xml:space="preserve">500 m</w:t>
            </w:r>
          </w:p>
        </w:tc>
        <w:tc>
          <w:tcPr>
            <w:tcW w:type="dxa" w:w="1613"/>
            <w:shd w:fill="F2F2F2" w:val="clear"/>
          </w:tcPr>
          <w:p>
            <w:r>
              <w:rPr>
                <w:sz w:val="18"/>
                <w:szCs w:val="18"/>
              </w:rPr>
              <w:t xml:space="preserve">Optional proxy variable for urban-intensity growth</w:t>
            </w:r>
          </w:p>
        </w:tc>
      </w:tr>
    </w:tbl>
    <w:p>
      <w:pPr>
        <w:spacing w:after="150"/>
      </w:pPr>
      <w:r>
        <w:rPr>
          <w:i/>
          <w:iCs/>
          <w:color w:val="555555"/>
        </w:rPr>
        <w:t xml:space="preserve">Important distinction carried through the whole analysis: Landsat thermal bands give instantaneous daytime LST at the satellite overpass time (~10:30 local). Genuine nighttime LST comes only from MOD11A2 (Night) at 1 km resolution, or ERA5-Land 2 m air-temperature reanalysis as an alternative proxy where satellite LST at night is unavailable. LST is never treated as equivalent to near-surface air temperature (2 m) in any statistical model — the two are reported as separate variables with separate limitations noted.</w:t>
      </w:r>
    </w:p>
    <w:p>
      <w:pPr>
        <w:pStyle w:val="Heading2"/>
        <w:spacing w:after="150" w:before="300"/>
      </w:pPr>
      <w:r>
        <w:t xml:space="preserve">B. Bangladesh Socioeconomic / Health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14"/>
        <w:gridCol w:w="2218"/>
        <w:gridCol w:w="2419"/>
        <w:gridCol w:w="1411"/>
        <w:gridCol w:w="1210"/>
        <w:gridCol w:w="1008"/>
      </w:tblGrid>
      <w:tr>
        <w:trPr>
          <w:tblHeader/>
        </w:trPr>
        <w:tc>
          <w:tcPr>
            <w:tcW w:type="dxa" w:w="1814"/>
            <w:shd w:fill="1F3864" w:val="clear"/>
          </w:tcPr>
          <w:p>
            <w:r>
              <w:rPr>
                <w:b/>
                <w:bCs/>
                <w:color w:val="FFFFFF"/>
                <w:sz w:val="18"/>
                <w:szCs w:val="18"/>
              </w:rPr>
              <w:t xml:space="preserve">Dataset</w:t>
            </w:r>
          </w:p>
        </w:tc>
        <w:tc>
          <w:tcPr>
            <w:tcW w:type="dxa" w:w="2218"/>
            <w:shd w:fill="1F3864" w:val="clear"/>
          </w:tcPr>
          <w:p>
            <w:r>
              <w:rPr>
                <w:b/>
                <w:bCs/>
                <w:color w:val="FFFFFF"/>
                <w:sz w:val="18"/>
                <w:szCs w:val="18"/>
              </w:rPr>
              <w:t xml:space="preserve">Variable(s)</w:t>
            </w:r>
          </w:p>
        </w:tc>
        <w:tc>
          <w:tcPr>
            <w:tcW w:type="dxa" w:w="2419"/>
            <w:shd w:fill="1F3864" w:val="clear"/>
          </w:tcPr>
          <w:p>
            <w:r>
              <w:rPr>
                <w:b/>
                <w:bCs/>
                <w:color w:val="FFFFFF"/>
                <w:sz w:val="18"/>
                <w:szCs w:val="18"/>
              </w:rPr>
              <w:t xml:space="preserve">Source</w:t>
            </w:r>
          </w:p>
        </w:tc>
        <w:tc>
          <w:tcPr>
            <w:tcW w:type="dxa" w:w="1411"/>
            <w:shd w:fill="1F3864" w:val="clear"/>
          </w:tcPr>
          <w:p>
            <w:r>
              <w:rPr>
                <w:b/>
                <w:bCs/>
                <w:color w:val="FFFFFF"/>
                <w:sz w:val="18"/>
                <w:szCs w:val="18"/>
              </w:rPr>
              <w:t xml:space="preserve">Years</w:t>
            </w:r>
          </w:p>
        </w:tc>
        <w:tc>
          <w:tcPr>
            <w:tcW w:type="dxa" w:w="1210"/>
            <w:shd w:fill="1F3864" w:val="clear"/>
          </w:tcPr>
          <w:p>
            <w:r>
              <w:rPr>
                <w:b/>
                <w:bCs/>
                <w:color w:val="FFFFFF"/>
                <w:sz w:val="18"/>
                <w:szCs w:val="18"/>
              </w:rPr>
              <w:t xml:space="preserve">Resolution</w:t>
            </w:r>
          </w:p>
        </w:tc>
        <w:tc>
          <w:tcPr>
            <w:tcW w:type="dxa" w:w="1008"/>
            <w:shd w:fill="1F3864" w:val="clear"/>
          </w:tcPr>
          <w:p>
            <w:r>
              <w:rPr>
                <w:b/>
                <w:bCs/>
                <w:color w:val="FFFFFF"/>
                <w:sz w:val="18"/>
                <w:szCs w:val="18"/>
              </w:rPr>
              <w:t xml:space="preserve">Format</w:t>
            </w:r>
          </w:p>
        </w:tc>
      </w:tr>
      <w:tr>
        <w:tc>
          <w:tcPr>
            <w:tcW w:type="dxa" w:w="1814"/>
            <w:shd w:fill="FFFFFF" w:val="clear"/>
          </w:tcPr>
          <w:p>
            <w:r>
              <w:rPr>
                <w:sz w:val="18"/>
                <w:szCs w:val="18"/>
              </w:rPr>
              <w:t xml:space="preserve">Population &amp; Housing Census</w:t>
            </w:r>
          </w:p>
        </w:tc>
        <w:tc>
          <w:tcPr>
            <w:tcW w:type="dxa" w:w="2218"/>
            <w:shd w:fill="FFFFFF" w:val="clear"/>
          </w:tcPr>
          <w:p>
            <w:r>
              <w:rPr>
                <w:sz w:val="18"/>
                <w:szCs w:val="18"/>
              </w:rPr>
              <w:t xml:space="preserve">Population, density, households, by ward</w:t>
            </w:r>
          </w:p>
        </w:tc>
        <w:tc>
          <w:tcPr>
            <w:tcW w:type="dxa" w:w="2419"/>
            <w:shd w:fill="FFFFFF" w:val="clear"/>
          </w:tcPr>
          <w:p>
            <w:r>
              <w:rPr>
                <w:sz w:val="18"/>
                <w:szCs w:val="18"/>
              </w:rPr>
              <w:t xml:space="preserve">Bangladesh Bureau of Statistics (BBS)</w:t>
            </w:r>
          </w:p>
        </w:tc>
        <w:tc>
          <w:tcPr>
            <w:tcW w:type="dxa" w:w="1411"/>
            <w:shd w:fill="FFFFFF" w:val="clear"/>
          </w:tcPr>
          <w:p>
            <w:r>
              <w:rPr>
                <w:sz w:val="18"/>
                <w:szCs w:val="18"/>
              </w:rPr>
              <w:t xml:space="preserve">2001, 2011, 2022</w:t>
            </w:r>
          </w:p>
        </w:tc>
        <w:tc>
          <w:tcPr>
            <w:tcW w:type="dxa" w:w="1210"/>
            <w:shd w:fill="FFFFFF" w:val="clear"/>
          </w:tcPr>
          <w:p>
            <w:r>
              <w:rPr>
                <w:sz w:val="18"/>
                <w:szCs w:val="18"/>
              </w:rPr>
              <w:t xml:space="preserve">Ward</w:t>
            </w:r>
          </w:p>
        </w:tc>
        <w:tc>
          <w:tcPr>
            <w:tcW w:type="dxa" w:w="1008"/>
            <w:shd w:fill="FFFFFF" w:val="clear"/>
          </w:tcPr>
          <w:p>
            <w:r>
              <w:rPr>
                <w:sz w:val="18"/>
                <w:szCs w:val="18"/>
              </w:rPr>
              <w:t xml:space="preserve">CSV/PDF tables</w:t>
            </w:r>
          </w:p>
        </w:tc>
      </w:tr>
      <w:tr>
        <w:tc>
          <w:tcPr>
            <w:tcW w:type="dxa" w:w="1814"/>
            <w:shd w:fill="F2F2F2" w:val="clear"/>
          </w:tcPr>
          <w:p>
            <w:r>
              <w:rPr>
                <w:sz w:val="18"/>
                <w:szCs w:val="18"/>
              </w:rPr>
              <w:t xml:space="preserve">Household Income &amp; Expenditure Survey (HIES)</w:t>
            </w:r>
          </w:p>
        </w:tc>
        <w:tc>
          <w:tcPr>
            <w:tcW w:type="dxa" w:w="2218"/>
            <w:shd w:fill="F2F2F2" w:val="clear"/>
          </w:tcPr>
          <w:p>
            <w:r>
              <w:rPr>
                <w:sz w:val="18"/>
                <w:szCs w:val="18"/>
              </w:rPr>
              <w:t xml:space="preserve">Income, food/non-food expenditure, health expenditure</w:t>
            </w:r>
          </w:p>
        </w:tc>
        <w:tc>
          <w:tcPr>
            <w:tcW w:type="dxa" w:w="2419"/>
            <w:shd w:fill="F2F2F2" w:val="clear"/>
          </w:tcPr>
          <w:p>
            <w:r>
              <w:rPr>
                <w:sz w:val="18"/>
                <w:szCs w:val="18"/>
              </w:rPr>
              <w:t xml:space="preserve">BBS</w:t>
            </w:r>
          </w:p>
        </w:tc>
        <w:tc>
          <w:tcPr>
            <w:tcW w:type="dxa" w:w="1411"/>
            <w:shd w:fill="F2F2F2" w:val="clear"/>
          </w:tcPr>
          <w:p>
            <w:r>
              <w:rPr>
                <w:sz w:val="18"/>
                <w:szCs w:val="18"/>
              </w:rPr>
              <w:t xml:space="preserve">Survey years only (2000, 2005, 2010, 2016, 2022)</w:t>
            </w:r>
          </w:p>
        </w:tc>
        <w:tc>
          <w:tcPr>
            <w:tcW w:type="dxa" w:w="1210"/>
            <w:shd w:fill="F2F2F2" w:val="clear"/>
          </w:tcPr>
          <w:p>
            <w:r>
              <w:rPr>
                <w:sz w:val="18"/>
                <w:szCs w:val="18"/>
              </w:rPr>
              <w:t xml:space="preserve">Division/district (not ward)</w:t>
            </w:r>
          </w:p>
        </w:tc>
        <w:tc>
          <w:tcPr>
            <w:tcW w:type="dxa" w:w="1008"/>
            <w:shd w:fill="F2F2F2" w:val="clear"/>
          </w:tcPr>
          <w:p>
            <w:r>
              <w:rPr>
                <w:sz w:val="18"/>
                <w:szCs w:val="18"/>
              </w:rPr>
              <w:t xml:space="preserve">Reports/microdata on request</w:t>
            </w:r>
          </w:p>
        </w:tc>
      </w:tr>
      <w:tr>
        <w:tc>
          <w:tcPr>
            <w:tcW w:type="dxa" w:w="1814"/>
            <w:shd w:fill="FFFFFF" w:val="clear"/>
          </w:tcPr>
          <w:p>
            <w:r>
              <w:rPr>
                <w:sz w:val="18"/>
                <w:szCs w:val="18"/>
              </w:rPr>
              <w:t xml:space="preserve">Health Bulletin / DGHS records</w:t>
            </w:r>
          </w:p>
        </w:tc>
        <w:tc>
          <w:tcPr>
            <w:tcW w:type="dxa" w:w="2218"/>
            <w:shd w:fill="FFFFFF" w:val="clear"/>
          </w:tcPr>
          <w:p>
            <w:r>
              <w:rPr>
                <w:sz w:val="18"/>
                <w:szCs w:val="18"/>
              </w:rPr>
              <w:t xml:space="preserve">Hospital admissions, respiratory &amp; cardiovascular case counts</w:t>
            </w:r>
          </w:p>
        </w:tc>
        <w:tc>
          <w:tcPr>
            <w:tcW w:type="dxa" w:w="2419"/>
            <w:shd w:fill="FFFFFF" w:val="clear"/>
          </w:tcPr>
          <w:p>
            <w:r>
              <w:rPr>
                <w:sz w:val="18"/>
                <w:szCs w:val="18"/>
              </w:rPr>
              <w:t xml:space="preserve">Directorate General of Health Services (DGHS), Dhaka health authorities</w:t>
            </w:r>
          </w:p>
        </w:tc>
        <w:tc>
          <w:tcPr>
            <w:tcW w:type="dxa" w:w="1411"/>
            <w:shd w:fill="FFFFFF" w:val="clear"/>
          </w:tcPr>
          <w:p>
            <w:r>
              <w:rPr>
                <w:sz w:val="18"/>
                <w:szCs w:val="18"/>
              </w:rPr>
              <w:t xml:space="preserve">Varies, often annual from ~2010</w:t>
            </w:r>
          </w:p>
        </w:tc>
        <w:tc>
          <w:tcPr>
            <w:tcW w:type="dxa" w:w="1210"/>
            <w:shd w:fill="FFFFFF" w:val="clear"/>
          </w:tcPr>
          <w:p>
            <w:r>
              <w:rPr>
                <w:sz w:val="18"/>
                <w:szCs w:val="18"/>
              </w:rPr>
              <w:t xml:space="preserve">District/facility-level</w:t>
            </w:r>
          </w:p>
        </w:tc>
        <w:tc>
          <w:tcPr>
            <w:tcW w:type="dxa" w:w="1008"/>
            <w:shd w:fill="FFFFFF" w:val="clear"/>
          </w:tcPr>
          <w:p>
            <w:r>
              <w:rPr>
                <w:sz w:val="18"/>
                <w:szCs w:val="18"/>
              </w:rPr>
              <w:t xml:space="preserve">Reports</w:t>
            </w:r>
          </w:p>
        </w:tc>
      </w:tr>
      <w:tr>
        <w:tc>
          <w:tcPr>
            <w:tcW w:type="dxa" w:w="1814"/>
            <w:shd w:fill="F2F2F2" w:val="clear"/>
          </w:tcPr>
          <w:p>
            <w:r>
              <w:rPr>
                <w:sz w:val="18"/>
                <w:szCs w:val="18"/>
              </w:rPr>
              <w:t xml:space="preserve">Air quality monitoring</w:t>
            </w:r>
          </w:p>
        </w:tc>
        <w:tc>
          <w:tcPr>
            <w:tcW w:type="dxa" w:w="2218"/>
            <w:shd w:fill="F2F2F2" w:val="clear"/>
          </w:tcPr>
          <w:p>
            <w:r>
              <w:rPr>
                <w:sz w:val="18"/>
                <w:szCs w:val="18"/>
              </w:rPr>
              <w:t xml:space="preserve">PM2.5, PM10, NO2</w:t>
            </w:r>
          </w:p>
        </w:tc>
        <w:tc>
          <w:tcPr>
            <w:tcW w:type="dxa" w:w="2419"/>
            <w:shd w:fill="F2F2F2" w:val="clear"/>
          </w:tcPr>
          <w:p>
            <w:r>
              <w:rPr>
                <w:sz w:val="18"/>
                <w:szCs w:val="18"/>
              </w:rPr>
              <w:t xml:space="preserve">Department of Environment (DoE) CAMS stations; also NASA MODIS/Sentinel-5P AOD as satellite proxy</w:t>
            </w:r>
          </w:p>
        </w:tc>
        <w:tc>
          <w:tcPr>
            <w:tcW w:type="dxa" w:w="1411"/>
            <w:shd w:fill="F2F2F2" w:val="clear"/>
          </w:tcPr>
          <w:p>
            <w:r>
              <w:rPr>
                <w:sz w:val="18"/>
                <w:szCs w:val="18"/>
              </w:rPr>
              <w:t xml:space="preserve">2013–present (ground); 2018–present (Sentinel-5P)</w:t>
            </w:r>
          </w:p>
        </w:tc>
        <w:tc>
          <w:tcPr>
            <w:tcW w:type="dxa" w:w="1210"/>
            <w:shd w:fill="F2F2F2" w:val="clear"/>
          </w:tcPr>
          <w:p>
            <w:r>
              <w:rPr>
                <w:sz w:val="18"/>
                <w:szCs w:val="18"/>
              </w:rPr>
              <w:t xml:space="preserve">Station points / ~5.5 km satellite grid</w:t>
            </w:r>
          </w:p>
        </w:tc>
        <w:tc>
          <w:tcPr>
            <w:tcW w:type="dxa" w:w="1008"/>
            <w:shd w:fill="F2F2F2" w:val="clear"/>
          </w:tcPr>
          <w:p>
            <w:r>
              <w:rPr>
                <w:sz w:val="18"/>
                <w:szCs w:val="18"/>
              </w:rPr>
              <w:t xml:space="preserve">CSV / GeoTIFF</w:t>
            </w:r>
          </w:p>
        </w:tc>
      </w:tr>
      <w:tr>
        <w:tc>
          <w:tcPr>
            <w:tcW w:type="dxa" w:w="1814"/>
            <w:shd w:fill="FFFFFF" w:val="clear"/>
          </w:tcPr>
          <w:p>
            <w:r>
              <w:rPr>
                <w:sz w:val="18"/>
                <w:szCs w:val="18"/>
              </w:rPr>
              <w:t xml:space="preserve">Meteorological records</w:t>
            </w:r>
          </w:p>
        </w:tc>
        <w:tc>
          <w:tcPr>
            <w:tcW w:type="dxa" w:w="2218"/>
            <w:shd w:fill="FFFFFF" w:val="clear"/>
          </w:tcPr>
          <w:p>
            <w:r>
              <w:rPr>
                <w:sz w:val="18"/>
                <w:szCs w:val="18"/>
              </w:rPr>
              <w:t xml:space="preserve">Air temperature, humidity, rainfall</w:t>
            </w:r>
          </w:p>
        </w:tc>
        <w:tc>
          <w:tcPr>
            <w:tcW w:type="dxa" w:w="2419"/>
            <w:shd w:fill="FFFFFF" w:val="clear"/>
          </w:tcPr>
          <w:p>
            <w:r>
              <w:rPr>
                <w:sz w:val="18"/>
                <w:szCs w:val="18"/>
              </w:rPr>
              <w:t xml:space="preserve">Bangladesh Meteorological Department (BMD)</w:t>
            </w:r>
          </w:p>
        </w:tc>
        <w:tc>
          <w:tcPr>
            <w:tcW w:type="dxa" w:w="1411"/>
            <w:shd w:fill="FFFFFF" w:val="clear"/>
          </w:tcPr>
          <w:p>
            <w:r>
              <w:rPr>
                <w:sz w:val="18"/>
                <w:szCs w:val="18"/>
              </w:rPr>
              <w:t xml:space="preserve">Long-term, station-based</w:t>
            </w:r>
          </w:p>
        </w:tc>
        <w:tc>
          <w:tcPr>
            <w:tcW w:type="dxa" w:w="1210"/>
            <w:shd w:fill="FFFFFF" w:val="clear"/>
          </w:tcPr>
          <w:p>
            <w:r>
              <w:rPr>
                <w:sz w:val="18"/>
                <w:szCs w:val="18"/>
              </w:rPr>
              <w:t xml:space="preserve">Point (Dhaka station)</w:t>
            </w:r>
          </w:p>
        </w:tc>
        <w:tc>
          <w:tcPr>
            <w:tcW w:type="dxa" w:w="1008"/>
            <w:shd w:fill="FFFFFF" w:val="clear"/>
          </w:tcPr>
          <w:p>
            <w:r>
              <w:rPr>
                <w:sz w:val="18"/>
                <w:szCs w:val="18"/>
              </w:rPr>
              <w:t xml:space="preserve">CSV</w:t>
            </w:r>
          </w:p>
        </w:tc>
      </w:tr>
      <w:tr>
        <w:tc>
          <w:tcPr>
            <w:tcW w:type="dxa" w:w="1814"/>
            <w:shd w:fill="F2F2F2" w:val="clear"/>
          </w:tcPr>
          <w:p>
            <w:r>
              <w:rPr>
                <w:sz w:val="18"/>
                <w:szCs w:val="18"/>
              </w:rPr>
              <w:t xml:space="preserve">Electricity consumption</w:t>
            </w:r>
          </w:p>
        </w:tc>
        <w:tc>
          <w:tcPr>
            <w:tcW w:type="dxa" w:w="2218"/>
            <w:shd w:fill="F2F2F2" w:val="clear"/>
          </w:tcPr>
          <w:p>
            <w:r>
              <w:rPr>
                <w:sz w:val="18"/>
                <w:szCs w:val="18"/>
              </w:rPr>
              <w:t xml:space="preserve">Household/commercial electricity use (cooling-demand proxy)</w:t>
            </w:r>
          </w:p>
        </w:tc>
        <w:tc>
          <w:tcPr>
            <w:tcW w:type="dxa" w:w="2419"/>
            <w:shd w:fill="F2F2F2" w:val="clear"/>
          </w:tcPr>
          <w:p>
            <w:r>
              <w:rPr>
                <w:sz w:val="18"/>
                <w:szCs w:val="18"/>
              </w:rPr>
              <w:t xml:space="preserve">Bangladesh Power Development Board (BPDB) / Dhaka Electric Supply Company (DESCO)</w:t>
            </w:r>
          </w:p>
        </w:tc>
        <w:tc>
          <w:tcPr>
            <w:tcW w:type="dxa" w:w="1411"/>
            <w:shd w:fill="F2F2F2" w:val="clear"/>
          </w:tcPr>
          <w:p>
            <w:r>
              <w:rPr>
                <w:sz w:val="18"/>
                <w:szCs w:val="18"/>
              </w:rPr>
              <w:t xml:space="preserve">Annual, varies</w:t>
            </w:r>
          </w:p>
        </w:tc>
        <w:tc>
          <w:tcPr>
            <w:tcW w:type="dxa" w:w="1210"/>
            <w:shd w:fill="F2F2F2" w:val="clear"/>
          </w:tcPr>
          <w:p>
            <w:r>
              <w:rPr>
                <w:sz w:val="18"/>
                <w:szCs w:val="18"/>
              </w:rPr>
              <w:t xml:space="preserve">City/utility-area</w:t>
            </w:r>
          </w:p>
        </w:tc>
        <w:tc>
          <w:tcPr>
            <w:tcW w:type="dxa" w:w="1008"/>
            <w:shd w:fill="F2F2F2" w:val="clear"/>
          </w:tcPr>
          <w:p>
            <w:r>
              <w:rPr>
                <w:sz w:val="18"/>
                <w:szCs w:val="18"/>
              </w:rPr>
              <w:t xml:space="preserve">Reports</w:t>
            </w:r>
          </w:p>
        </w:tc>
      </w:tr>
      <w:tr>
        <w:tc>
          <w:tcPr>
            <w:tcW w:type="dxa" w:w="1814"/>
            <w:shd w:fill="FFFFFF" w:val="clear"/>
          </w:tcPr>
          <w:p>
            <w:r>
              <w:rPr>
                <w:sz w:val="18"/>
                <w:szCs w:val="18"/>
              </w:rPr>
              <w:t xml:space="preserve">CPI, wage index, GDP</w:t>
            </w:r>
          </w:p>
        </w:tc>
        <w:tc>
          <w:tcPr>
            <w:tcW w:type="dxa" w:w="2218"/>
            <w:shd w:fill="FFFFFF" w:val="clear"/>
          </w:tcPr>
          <w:p>
            <w:r>
              <w:rPr>
                <w:sz w:val="18"/>
                <w:szCs w:val="18"/>
              </w:rPr>
              <w:t xml:space="preserve">Macroeconomic indicators</w:t>
            </w:r>
          </w:p>
        </w:tc>
        <w:tc>
          <w:tcPr>
            <w:tcW w:type="dxa" w:w="2419"/>
            <w:shd w:fill="FFFFFF" w:val="clear"/>
          </w:tcPr>
          <w:p>
            <w:r>
              <w:rPr>
                <w:sz w:val="18"/>
                <w:szCs w:val="18"/>
              </w:rPr>
              <w:t xml:space="preserve">Bangladesh Bank, BBS, World Bank Open Data</w:t>
            </w:r>
          </w:p>
        </w:tc>
        <w:tc>
          <w:tcPr>
            <w:tcW w:type="dxa" w:w="1411"/>
            <w:shd w:fill="FFFFFF" w:val="clear"/>
          </w:tcPr>
          <w:p>
            <w:r>
              <w:rPr>
                <w:sz w:val="18"/>
                <w:szCs w:val="18"/>
              </w:rPr>
              <w:t xml:space="preserve">Annual 2000–2025</w:t>
            </w:r>
          </w:p>
        </w:tc>
        <w:tc>
          <w:tcPr>
            <w:tcW w:type="dxa" w:w="1210"/>
            <w:shd w:fill="FFFFFF" w:val="clear"/>
          </w:tcPr>
          <w:p>
            <w:r>
              <w:rPr>
                <w:sz w:val="18"/>
                <w:szCs w:val="18"/>
              </w:rPr>
              <w:t xml:space="preserve">National</w:t>
            </w:r>
          </w:p>
        </w:tc>
        <w:tc>
          <w:tcPr>
            <w:tcW w:type="dxa" w:w="1008"/>
            <w:shd w:fill="FFFFFF" w:val="clear"/>
          </w:tcPr>
          <w:p>
            <w:r>
              <w:rPr>
                <w:sz w:val="18"/>
                <w:szCs w:val="18"/>
              </w:rPr>
              <w:t xml:space="preserve">CSV/API</w:t>
            </w:r>
          </w:p>
        </w:tc>
      </w:tr>
      <w:tr>
        <w:tc>
          <w:tcPr>
            <w:tcW w:type="dxa" w:w="1814"/>
            <w:shd w:fill="F2F2F2" w:val="clear"/>
          </w:tcPr>
          <w:p>
            <w:r>
              <w:rPr>
                <w:sz w:val="18"/>
                <w:szCs w:val="18"/>
              </w:rPr>
              <w:t xml:space="preserve">Employment</w:t>
            </w:r>
          </w:p>
        </w:tc>
        <w:tc>
          <w:tcPr>
            <w:tcW w:type="dxa" w:w="2218"/>
            <w:shd w:fill="F2F2F2" w:val="clear"/>
          </w:tcPr>
          <w:p>
            <w:r>
              <w:rPr>
                <w:sz w:val="18"/>
                <w:szCs w:val="18"/>
              </w:rPr>
              <w:t xml:space="preserve">Labour force indicators</w:t>
            </w:r>
          </w:p>
        </w:tc>
        <w:tc>
          <w:tcPr>
            <w:tcW w:type="dxa" w:w="2419"/>
            <w:shd w:fill="F2F2F2" w:val="clear"/>
          </w:tcPr>
          <w:p>
            <w:r>
              <w:rPr>
                <w:sz w:val="18"/>
                <w:szCs w:val="18"/>
              </w:rPr>
              <w:t xml:space="preserve">BBS Labour Force Survey, ILOSTAT</w:t>
            </w:r>
          </w:p>
        </w:tc>
        <w:tc>
          <w:tcPr>
            <w:tcW w:type="dxa" w:w="1411"/>
            <w:shd w:fill="F2F2F2" w:val="clear"/>
          </w:tcPr>
          <w:p>
            <w:r>
              <w:rPr>
                <w:sz w:val="18"/>
                <w:szCs w:val="18"/>
              </w:rPr>
              <w:t xml:space="preserve">Survey years</w:t>
            </w:r>
          </w:p>
        </w:tc>
        <w:tc>
          <w:tcPr>
            <w:tcW w:type="dxa" w:w="1210"/>
            <w:shd w:fill="F2F2F2" w:val="clear"/>
          </w:tcPr>
          <w:p>
            <w:r>
              <w:rPr>
                <w:sz w:val="18"/>
                <w:szCs w:val="18"/>
              </w:rPr>
              <w:t xml:space="preserve">National/division</w:t>
            </w:r>
          </w:p>
        </w:tc>
        <w:tc>
          <w:tcPr>
            <w:tcW w:type="dxa" w:w="1008"/>
            <w:shd w:fill="F2F2F2" w:val="clear"/>
          </w:tcPr>
          <w:p>
            <w:r>
              <w:rPr>
                <w:sz w:val="18"/>
                <w:szCs w:val="18"/>
              </w:rPr>
              <w:t xml:space="preserve">CSV</w:t>
            </w:r>
          </w:p>
        </w:tc>
      </w:tr>
    </w:tbl>
    <w:p>
      <w:pPr>
        <w:spacing w:after="150"/>
      </w:pPr>
      <w:r>
        <w:rPr>
          <w:i/>
          <w:iCs/>
          <w:color w:val="555555"/>
        </w:rPr>
        <w:t xml:space="preserve">Where a variable is only available at district/division/national level rather than ward level (true for most health and household-economic series in Bangladesh), it is used as a city-wide contextual variable, not disaggregated to wards by assumption. This is flagged explicitly wherever it happens, per the 'no fabricated disaggregation' rule in your brief.</w:t>
      </w:r>
    </w:p>
    <w:p>
      <w:pPr>
        <w:pStyle w:val="Heading2"/>
        <w:spacing w:after="150" w:before="300"/>
      </w:pPr>
      <w:r>
        <w:t xml:space="preserve">C. International Reference Data</w:t>
      </w:r>
    </w:p>
    <w:p>
      <w:pPr>
        <w:pStyle w:val="ListParagraph"/>
        <w:numPr>
          <w:ilvl w:val="0"/>
          <w:numId w:val="2"/>
        </w:numPr>
        <w:spacing w:after="60"/>
      </w:pPr>
      <w:r>
        <w:t xml:space="preserve">World Bank Open Data — Bangladesh GDP, GDP per capita, urban population, CO2, energy use</w:t>
      </w:r>
    </w:p>
    <w:p>
      <w:pPr>
        <w:pStyle w:val="ListParagraph"/>
        <w:numPr>
          <w:ilvl w:val="0"/>
          <w:numId w:val="2"/>
        </w:numPr>
        <w:spacing w:after="60"/>
      </w:pPr>
      <w:r>
        <w:t xml:space="preserve">WHO Global Health Observatory — ambient air pollution attributable burden, heat-health guidance</w:t>
      </w:r>
    </w:p>
    <w:p>
      <w:pPr>
        <w:pStyle w:val="ListParagraph"/>
        <w:numPr>
          <w:ilvl w:val="0"/>
          <w:numId w:val="2"/>
        </w:numPr>
        <w:spacing w:after="60"/>
      </w:pPr>
      <w:r>
        <w:t xml:space="preserve">NASA / NOAA — satellite products listed above, plus ERA5-Land reanalysis (air temperature, humidity) via Copernicus Climate Data Store</w:t>
      </w:r>
    </w:p>
    <w:p>
      <w:pPr>
        <w:pStyle w:val="ListParagraph"/>
        <w:numPr>
          <w:ilvl w:val="0"/>
          <w:numId w:val="2"/>
        </w:numPr>
        <w:spacing w:after="60"/>
      </w:pPr>
      <w:r>
        <w:t xml:space="preserve">FAO / ILO — land-use and employment cross-reference where relevant</w:t>
      </w:r>
    </w:p>
    <w:p>
      <w:r>
        <w:br w:type="page"/>
      </w:r>
    </w:p>
    <w:p>
      <w:pPr>
        <w:pStyle w:val="Heading1"/>
        <w:spacing w:after="200" w:before="400"/>
      </w:pPr>
      <w:r>
        <w:t xml:space="preserve">Chapter 3 — Methodology (Design Summary)</w:t>
      </w:r>
    </w:p>
    <w:p>
      <w:pPr>
        <w:pStyle w:val="Heading2"/>
        <w:spacing w:after="150" w:before="300"/>
      </w:pPr>
      <w:r>
        <w:t xml:space="preserve">3.1–3.4 Study Area, Data Sources, Satellite Data, Preprocessing</w:t>
      </w:r>
    </w:p>
    <w:p>
      <w:pPr>
        <w:spacing w:after="150"/>
      </w:pPr>
      <w:r>
        <w:t xml:space="preserve">As defined above. Preprocessing pipeline per year: (1) mosaic/select least-cloudy scene(s) within a fixed Nov–Feb window, (2) apply QA/cloud mask (CFMask for Landsat, s2cloudless/QA60 for Sentinel-2), (3) convert DN to surface reflectance and surface temperature (Collection 2 Level-2 products supply this directly), (4) reproject to EPSG:32646, (5) clip to the fixed DNCC+DSCC boundary.</w:t>
      </w:r>
    </w:p>
    <w:p>
      <w:pPr>
        <w:pStyle w:val="Heading2"/>
        <w:spacing w:after="150" w:before="300"/>
      </w:pPr>
      <w:r>
        <w:t xml:space="preserve">3.5 NDVI</w:t>
      </w:r>
    </w:p>
    <w:p>
      <w:pPr>
        <w:spacing w:after="150"/>
      </w:pPr>
      <w:r>
        <w:t xml:space="preserve">NDVI = (NIR − Red) / (NIR + Red), computed per pixel per year. Classified into vegetation-density bins (e.g., &lt;0, 0–0.2 bare/built, 0.2–0.4 sparse, 0.4–0.6 moderate, &gt;0.6 dense) for green-space delineation, with the exact threshold calibrated against a visual high-resolution reference (e.g., Google Earth historical imagery or Sentinel-2 for recent years) rather than assumed a priori.</w:t>
      </w:r>
    </w:p>
    <w:p>
      <w:pPr>
        <w:pStyle w:val="Heading2"/>
        <w:spacing w:after="150" w:before="300"/>
      </w:pPr>
      <w:r>
        <w:t xml:space="preserve">3.6 NDBI</w:t>
      </w:r>
    </w:p>
    <w:p>
      <w:pPr>
        <w:spacing w:after="150"/>
      </w:pPr>
      <w:r>
        <w:t xml:space="preserve">NDBI = (SWIR − NIR) / (SWIR + NIR). Built-up pixels classified where NDBI &gt; NDVI and NDBI exceeds a locally calibrated threshold. Cross-checked against nighttime-lights growth (VIIRS/DMSP) as an independent built-up-intensity indicator.</w:t>
      </w:r>
    </w:p>
    <w:p>
      <w:pPr>
        <w:pStyle w:val="Heading2"/>
        <w:spacing w:after="150" w:before="300"/>
      </w:pPr>
      <w:r>
        <w:t xml:space="preserve">3.7 LST</w:t>
      </w:r>
    </w:p>
    <w:p>
      <w:pPr>
        <w:spacing w:after="150"/>
      </w:pPr>
      <w:r>
        <w:t xml:space="preserve">Daytime LST from Landsat thermal band (mono-window or Collection-2 ST_B10 product, emissivity-corrected via NDVI-based emissivity). Nighttime LST from MOD11A2 Night_1km layer, 8-day composites averaged over the same Nov–Feb window used for the Landsat scenes, to keep seasons comparable across data sources despite different sensors.</w:t>
      </w:r>
    </w:p>
    <w:p>
      <w:pPr>
        <w:pStyle w:val="Heading2"/>
        <w:spacing w:after="150" w:before="300"/>
      </w:pPr>
      <w:r>
        <w:t xml:space="preserve">3.8 Green-Space Extraction</w:t>
      </w:r>
    </w:p>
    <w:p>
      <w:pPr>
        <w:spacing w:after="150"/>
      </w:pPr>
      <w:r>
        <w:t xml:space="preserve">Union of NDVI-based vegetation classes with an ancillary land-cover check (ESA WorldCover or manually digitized reference polygons for known parks) to separate true green space from agricultural fallow/seasonal signal where relevant.</w:t>
      </w:r>
    </w:p>
    <w:p>
      <w:pPr>
        <w:pStyle w:val="Heading2"/>
        <w:spacing w:after="150" w:before="300"/>
      </w:pPr>
      <w:r>
        <w:t xml:space="preserve">3.9–3.10 Health Data, Economic Data</w:t>
      </w:r>
    </w:p>
    <w:p>
      <w:pPr>
        <w:spacing w:after="150"/>
      </w:pPr>
      <w:r>
        <w:t xml:space="preserve">Integrated at the finest resolution actually published (see Data Inventory). Where only city-wide or district annual series exist, they are joined to every ward for that year as a shared contextual variable and explicitly labeled as such in the resulting dataset (a column such as data_resolution = 'city-wide' vs 'ward-level' is retained), never silently presented as ward-specific measurement.</w:t>
      </w:r>
    </w:p>
    <w:p>
      <w:pPr>
        <w:pStyle w:val="Heading2"/>
        <w:spacing w:after="150" w:before="300"/>
      </w:pPr>
      <w:r>
        <w:t xml:space="preserve">3.11 GIS Analysis</w:t>
      </w:r>
    </w:p>
    <w:p>
      <w:pPr>
        <w:spacing w:after="150"/>
      </w:pPr>
      <w:r>
        <w:t xml:space="preserve">QGIS/GEE for zonal statistics (mean NDVI/NDBI/LST per ward per year), hotspot analysis (Getis-Ord Gi*) on green-space loss and LST, and overlay analysis of heat, population density, and (where available) health/economic exposure.</w:t>
      </w:r>
    </w:p>
    <w:p>
      <w:pPr>
        <w:pStyle w:val="Heading2"/>
        <w:spacing w:after="150" w:before="300"/>
      </w:pPr>
      <w:r>
        <w:t xml:space="preserve">3.12 Statistical Analysis</w:t>
      </w:r>
    </w:p>
    <w:p>
      <w:pPr>
        <w:spacing w:after="150"/>
      </w:pPr>
      <w:r>
        <w:t xml:space="preserve">Descriptive statistics per year/ward; Pearson/Spearman correlation between NDVI, NDBI, and LST; multiple linear regression of the form LST = β0 + β1·NDVI + β2·NDBI + β3·PopulationDensity + ε, with residual diagnostics (normality, heteroscedasticity, spatial autocorrelation via Moran's I) reported rather than assumed satisfied. Health/economic regressions are only specified and run if the matched exposure-outcome data pass a minimum sample-size and variance check; if not, the report states why the regression is not run rather than forcing an underpowered model.</w:t>
      </w:r>
    </w:p>
    <w:p>
      <w:pPr>
        <w:pStyle w:val="Heading2"/>
        <w:spacing w:after="150" w:before="300"/>
      </w:pPr>
      <w:r>
        <w:t xml:space="preserve">3.13 CNN (Conditional)</w:t>
      </w:r>
    </w:p>
    <w:p>
      <w:pPr>
        <w:spacing w:after="150"/>
      </w:pPr>
      <w:r>
        <w:t xml:space="preserve">A CNN land-cover classifier (Vegetation / Built-up / Water / Bare Land / Other) is trained only if labeled image patches of sufficient number and class balance can be assembled (e.g., via visual digitization on high-resolution basemaps or an existing land-cover product used as weak labels). If labels are insufficient, this is stated explicitly and a simpler, well-validated pixel-based threshold or Random Forest classifier is used instead of an unreliable CNN — consistent with your instruction not to use CNN as decoration.</w:t>
      </w:r>
    </w:p>
    <w:p>
      <w:pPr>
        <w:pStyle w:val="Heading2"/>
        <w:spacing w:after="150" w:before="300"/>
      </w:pPr>
      <w:r>
        <w:t xml:space="preserve">3.14–3.16 ML Prediction, 2030 Scenario, Validation</w:t>
      </w:r>
    </w:p>
    <w:p>
      <w:pPr>
        <w:spacing w:after="150"/>
      </w:pPr>
      <w:r>
        <w:t xml:space="preserve">Candidate models: Random Forest and Gradient Boosting (XGBoost) regression for tabular green%/built-up%/LST prediction per ward; CA-Markov or a simple Markov-chain transition matrix for spatial land-use-to-2030 scenario mapping, given only 5–6 historical time points (insufficient for LSTM, which needs longer sequences — this is stated rather than forcing a deep model onto 5 data points).</w:t>
      </w:r>
    </w:p>
    <w:p>
      <w:pPr>
        <w:spacing w:after="150"/>
      </w:pPr>
      <w:r>
        <w:t xml:space="preserve">Validation: temporal hold-out (train on 2000–2015 or 2000–2020, test on the most recent held-out historical year, e.g., predict 2025 from 2000–2020 data and compare to the actual 2025 raster before trusting the 2030 run), k-fold cross-validation on the ward-level tabular dataset, and reported MAE/RMSE/R² with uncertainty bands on the final 2030 map (e.g., from the spread across an ensemble of models or bootstrap resamples), not a single deterministic number.</w:t>
      </w:r>
    </w:p>
    <w:p>
      <w:r>
        <w:br w:type="page"/>
      </w:r>
    </w:p>
    <w:p>
      <w:pPr>
        <w:pStyle w:val="Heading1"/>
        <w:spacing w:after="200" w:before="400"/>
      </w:pPr>
      <w:r>
        <w:t xml:space="preserve">SDG Alignment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1F3864" w:val="clear"/>
          </w:tcPr>
          <w:p>
            <w:r>
              <w:rPr>
                <w:b/>
                <w:bCs/>
                <w:color w:val="FFFFFF"/>
                <w:sz w:val="18"/>
                <w:szCs w:val="18"/>
              </w:rPr>
              <w:t xml:space="preserve">SDG</w:t>
            </w:r>
          </w:p>
        </w:tc>
        <w:tc>
          <w:tcPr>
            <w:tcW w:type="dxa" w:w="7056"/>
            <w:shd w:fill="1F3864" w:val="clear"/>
          </w:tcPr>
          <w:p>
            <w:r>
              <w:rPr>
                <w:b/>
                <w:bCs/>
                <w:color w:val="FFFFFF"/>
                <w:sz w:val="18"/>
                <w:szCs w:val="18"/>
              </w:rPr>
              <w:t xml:space="preserve">Direct link in this project</w:t>
            </w:r>
          </w:p>
        </w:tc>
      </w:tr>
      <w:tr>
        <w:tc>
          <w:tcPr>
            <w:tcW w:type="dxa" w:w="3024"/>
            <w:shd w:fill="FFFFFF" w:val="clear"/>
          </w:tcPr>
          <w:p>
            <w:r>
              <w:rPr>
                <w:sz w:val="18"/>
                <w:szCs w:val="18"/>
              </w:rPr>
              <w:t xml:space="preserve">SDG 3 — Good Health and Well-being</w:t>
            </w:r>
          </w:p>
        </w:tc>
        <w:tc>
          <w:tcPr>
            <w:tcW w:type="dxa" w:w="7056"/>
            <w:shd w:fill="FFFFFF" w:val="clear"/>
          </w:tcPr>
          <w:p>
            <w:r>
              <w:rPr>
                <w:sz w:val="18"/>
                <w:szCs w:val="18"/>
              </w:rPr>
              <w:t xml:space="preserve">Maps heat and air-quality exposure alongside available health-service indicators to flag areas of elevated potential health burden (association-level evidence, not diagnosis of causation).</w:t>
            </w:r>
          </w:p>
        </w:tc>
      </w:tr>
      <w:tr>
        <w:tc>
          <w:tcPr>
            <w:tcW w:type="dxa" w:w="3024"/>
            <w:shd w:fill="F2F2F2" w:val="clear"/>
          </w:tcPr>
          <w:p>
            <w:r>
              <w:rPr>
                <w:sz w:val="18"/>
                <w:szCs w:val="18"/>
              </w:rPr>
              <w:t xml:space="preserve">SDG 11 — Sustainable Cities and Communities</w:t>
            </w:r>
          </w:p>
        </w:tc>
        <w:tc>
          <w:tcPr>
            <w:tcW w:type="dxa" w:w="7056"/>
            <w:shd w:fill="F2F2F2" w:val="clear"/>
          </w:tcPr>
          <w:p>
            <w:r>
              <w:rPr>
                <w:sz w:val="18"/>
                <w:szCs w:val="18"/>
              </w:rPr>
              <w:t xml:space="preserve">Produces ward-level green-space and heat-exposure evidence directly usable in DNCC/DSCC and RAJUK/DMDP open-space and heat-mitigation planning.</w:t>
            </w:r>
          </w:p>
        </w:tc>
      </w:tr>
      <w:tr>
        <w:tc>
          <w:tcPr>
            <w:tcW w:type="dxa" w:w="3024"/>
            <w:shd w:fill="FFFFFF" w:val="clear"/>
          </w:tcPr>
          <w:p>
            <w:r>
              <w:rPr>
                <w:sz w:val="18"/>
                <w:szCs w:val="18"/>
              </w:rPr>
              <w:t xml:space="preserve">SDG 13 — Climate Action</w:t>
            </w:r>
          </w:p>
        </w:tc>
        <w:tc>
          <w:tcPr>
            <w:tcW w:type="dxa" w:w="7056"/>
            <w:shd w:fill="FFFFFF" w:val="clear"/>
          </w:tcPr>
          <w:p>
            <w:r>
              <w:rPr>
                <w:sz w:val="18"/>
                <w:szCs w:val="18"/>
              </w:rPr>
              <w:t xml:space="preserve">Quantifies a local urban-heat trend and a validated 2030 scenario, supporting climate-adaptation prioritization under Bangladesh's NAP.</w:t>
            </w:r>
          </w:p>
        </w:tc>
      </w:tr>
      <w:tr>
        <w:tc>
          <w:tcPr>
            <w:tcW w:type="dxa" w:w="3024"/>
            <w:shd w:fill="F2F2F2" w:val="clear"/>
          </w:tcPr>
          <w:p>
            <w:r>
              <w:rPr>
                <w:sz w:val="18"/>
                <w:szCs w:val="18"/>
              </w:rPr>
              <w:t xml:space="preserve">SDG 15 — Life on Land</w:t>
            </w:r>
          </w:p>
        </w:tc>
        <w:tc>
          <w:tcPr>
            <w:tcW w:type="dxa" w:w="7056"/>
            <w:shd w:fill="F2F2F2" w:val="clear"/>
          </w:tcPr>
          <w:p>
            <w:r>
              <w:rPr>
                <w:sz w:val="18"/>
                <w:szCs w:val="18"/>
              </w:rPr>
              <w:t xml:space="preserve">Tracks the loss and fragmentation of urban vegetated land cover over 25 years, informing green-space conservation targets.</w:t>
            </w:r>
          </w:p>
        </w:tc>
      </w:tr>
    </w:tbl>
    <w:p>
      <w:pPr>
        <w:spacing w:after="150"/>
      </w:pPr>
      <w:r>
        <w:rPr>
          <w:i/>
          <w:iCs/>
          <w:color w:val="555555"/>
        </w:rPr>
        <w:t xml:space="preserve">These links are stated at the scope this project can support (area-level association and planning-relevant evidence), not as a claim of directly achieving or measuring SDG indicator targets.</w:t>
      </w:r>
    </w:p>
    <w:p>
      <w:r>
        <w:br w:type="page"/>
      </w:r>
    </w:p>
    <w:p>
      <w:pPr>
        <w:pStyle w:val="Heading1"/>
        <w:spacing w:after="200" w:before="400"/>
      </w:pPr>
      <w:r>
        <w:t xml:space="preserve">Reproducibility Plan</w:t>
      </w:r>
    </w:p>
    <w:p>
      <w:pPr>
        <w:spacing w:after="150"/>
      </w:pPr>
      <w:r>
        <w:t xml:space="preserve">Every dataset used in later phases will be logged with: source, official download URL, acquisition date, native and reprojected CRS, spatial/temporal resolution, cloud-masking method, processing steps, and (for any missing series) an explicit 'Data unavailable / proxy used / limitation' note. A master data catalogue (data_catalogue.csv) will accompany the final dataset.</w:t>
      </w:r>
    </w:p>
    <w:p>
      <w:pPr>
        <w:pStyle w:val="Heading2"/>
        <w:spacing w:after="150" w:before="300"/>
      </w:pPr>
      <w:r>
        <w:t xml:space="preserve">Project Folder Structure</w:t>
      </w:r>
    </w:p>
    <w:p>
      <w:pPr>
        <w:pStyle w:val="ListParagraph"/>
        <w:numPr>
          <w:ilvl w:val="0"/>
          <w:numId w:val="2"/>
        </w:numPr>
        <w:spacing w:after="60"/>
      </w:pPr>
      <w:r>
        <w:t xml:space="preserve">00_docs/ — this proposal, thesis chapters, literature review</w:t>
      </w:r>
    </w:p>
    <w:p>
      <w:pPr>
        <w:pStyle w:val="ListParagraph"/>
        <w:numPr>
          <w:ilvl w:val="0"/>
          <w:numId w:val="2"/>
        </w:numPr>
        <w:spacing w:after="60"/>
      </w:pPr>
      <w:r>
        <w:t xml:space="preserve">01_raw/satellite/ — raw scene downloads, by year and sensor</w:t>
      </w:r>
    </w:p>
    <w:p>
      <w:pPr>
        <w:pStyle w:val="ListParagraph"/>
        <w:numPr>
          <w:ilvl w:val="0"/>
          <w:numId w:val="2"/>
        </w:numPr>
        <w:spacing w:after="60"/>
      </w:pPr>
      <w:r>
        <w:t xml:space="preserve">01_raw/tabular/ — raw BBS/BBK/DoE/BMD downloads, unmodified</w:t>
      </w:r>
    </w:p>
    <w:p>
      <w:pPr>
        <w:pStyle w:val="ListParagraph"/>
        <w:numPr>
          <w:ilvl w:val="0"/>
          <w:numId w:val="2"/>
        </w:numPr>
        <w:spacing w:after="60"/>
      </w:pPr>
      <w:r>
        <w:t xml:space="preserve">02_processed/rasters/ — NDVI_YYYY.tif, NDBI_YYYY.tif, LST_day_YYYY.tif, LST_night_YYYY.tif</w:t>
      </w:r>
    </w:p>
    <w:p>
      <w:pPr>
        <w:pStyle w:val="ListParagraph"/>
        <w:numPr>
          <w:ilvl w:val="0"/>
          <w:numId w:val="2"/>
        </w:numPr>
        <w:spacing w:after="60"/>
      </w:pPr>
      <w:r>
        <w:t xml:space="preserve">02_processed/vectors/ — ward boundaries, green_space_change.shp, builtup_change.shp</w:t>
      </w:r>
    </w:p>
    <w:p>
      <w:pPr>
        <w:pStyle w:val="ListParagraph"/>
        <w:numPr>
          <w:ilvl w:val="0"/>
          <w:numId w:val="2"/>
        </w:numPr>
        <w:spacing w:after="60"/>
      </w:pPr>
      <w:r>
        <w:t xml:space="preserve">03_tabular/ — dhaka_green_space_master.csv, ward-year panel dataset, health/economic series</w:t>
      </w:r>
    </w:p>
    <w:p>
      <w:pPr>
        <w:pStyle w:val="ListParagraph"/>
        <w:numPr>
          <w:ilvl w:val="0"/>
          <w:numId w:val="2"/>
        </w:numPr>
        <w:spacing w:after="60"/>
      </w:pPr>
      <w:r>
        <w:t xml:space="preserve">04_code/gee/ — Earth Engine JavaScript extraction scripts</w:t>
      </w:r>
    </w:p>
    <w:p>
      <w:pPr>
        <w:pStyle w:val="ListParagraph"/>
        <w:numPr>
          <w:ilvl w:val="0"/>
          <w:numId w:val="2"/>
        </w:numPr>
        <w:spacing w:after="60"/>
      </w:pPr>
      <w:r>
        <w:t xml:space="preserve">04_code/python/ — cleaning, statistics, ML, CNN scripts</w:t>
      </w:r>
    </w:p>
    <w:p>
      <w:pPr>
        <w:pStyle w:val="ListParagraph"/>
        <w:numPr>
          <w:ilvl w:val="0"/>
          <w:numId w:val="2"/>
        </w:numPr>
        <w:spacing w:after="60"/>
      </w:pPr>
      <w:r>
        <w:t xml:space="preserve">05_outputs/maps/, 05_outputs/graphs/, 05_outputs/tables/</w:t>
      </w:r>
    </w:p>
    <w:p>
      <w:pPr>
        <w:pStyle w:val="ListParagraph"/>
        <w:numPr>
          <w:ilvl w:val="0"/>
          <w:numId w:val="2"/>
        </w:numPr>
        <w:spacing w:after="60"/>
      </w:pPr>
      <w:r>
        <w:t xml:space="preserve">06_models/ — saved model files, hyperparameters, random seeds, validation reports</w:t>
      </w:r>
    </w:p>
    <w:p>
      <w:r>
        <w:br w:type="page"/>
      </w:r>
    </w:p>
    <w:p>
      <w:pPr>
        <w:pStyle w:val="Heading1"/>
        <w:spacing w:after="200" w:before="400"/>
      </w:pPr>
      <w:r>
        <w:t xml:space="preserve">Full Thesis Chapter Outline (reference)</w:t>
      </w:r>
    </w:p>
    <w:p>
      <w:pPr>
        <w:spacing w:after="150"/>
      </w:pPr>
      <w:r>
        <w:t xml:space="preserve">This mirrors the structure in your brief and will be filled in progressively as each phase completes:</w:t>
      </w:r>
    </w:p>
    <w:p>
      <w:pPr>
        <w:pStyle w:val="Heading2"/>
        <w:spacing w:after="150" w:before="300"/>
      </w:pPr>
      <w:r>
        <w:t xml:space="preserve">Chapter 1 — Introduction</w:t>
      </w:r>
    </w:p>
    <w:p>
      <w:pPr>
        <w:spacing w:after="150"/>
      </w:pPr>
      <w:r>
        <w:t xml:space="preserve">1.1 Background · 1.2 Problem Statement · 1.3 Research Gap · 1.4 Research Questions · 1.5 Objectives · 1.6 Significance · 1.7 Scope · 1.8 Limitations — drafted above.</w:t>
      </w:r>
    </w:p>
    <w:p>
      <w:pPr>
        <w:pStyle w:val="Heading2"/>
        <w:spacing w:after="150" w:before="300"/>
      </w:pPr>
      <w:r>
        <w:t xml:space="preserve">Chapter 2 — Literature Review</w:t>
      </w:r>
    </w:p>
    <w:p>
      <w:pPr>
        <w:spacing w:after="150"/>
      </w:pPr>
      <w:r>
        <w:t xml:space="preserve">2.1–2.13 as listed in your brief, including the required literature-review table (Study / Year / Area / Data / Method / Finding / Limitation / Our Contribution). Requires live web search against peer-reviewed sources — ready to run in Phase 2.</w:t>
      </w:r>
    </w:p>
    <w:p>
      <w:pPr>
        <w:pStyle w:val="Heading2"/>
        <w:spacing w:after="150" w:before="300"/>
      </w:pPr>
      <w:r>
        <w:t xml:space="preserve">Chapter 3 — Methodology</w:t>
      </w:r>
    </w:p>
    <w:p>
      <w:pPr>
        <w:spacing w:after="150"/>
      </w:pPr>
      <w:r>
        <w:t xml:space="preserve">Drafted above (design level); will be expanded with exact parameters once real data are loaded (e.g., exact scene IDs, exact ward-boundary source, final classification thresholds).</w:t>
      </w:r>
    </w:p>
    <w:p>
      <w:pPr>
        <w:pStyle w:val="Heading2"/>
        <w:spacing w:after="150" w:before="300"/>
      </w:pPr>
      <w:r>
        <w:t xml:space="preserve">Chapters 4–6 — Results, Discussion, Conclusion</w:t>
      </w:r>
    </w:p>
    <w:p>
      <w:pPr>
        <w:spacing w:after="150"/>
      </w:pPr>
      <w:r>
        <w:t xml:space="preserve">Populated only from real analysis outputs in Phases 3–7 — no placeholder numbers are included here, per the 'do not fabricate data' requirement.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2026-09-25T20:16:51.406Z</dcterms:created>
  <dcterms:modified xsi:type="dcterms:W3CDTF">2026-09-25T20:16:51.414Z</dcterms:modified>
</cp:coreProperties>
</file>

<file path=docProps/custom.xml><?xml version="1.0" encoding="utf-8"?>
<Properties xmlns="http://schemas.openxmlformats.org/officeDocument/2006/custom-properties" xmlns:vt="http://schemas.openxmlformats.org/officeDocument/2006/docPropsVTypes"/>
</file>