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0"/>
          <w:szCs w:val="30"/>
        </w:rPr>
        <w:t xml:space="preserve">Enterprise NeXus — Multi-Agent AI Business Automation OS with Security Intelligence</w:t>
      </w:r>
    </w:p>
    <w:p>
      <w:pPr>
        <w:spacing w:after="40"/>
      </w:pPr>
      <w:r>
        <w:rPr>
          <w:rFonts w:ascii="Arial" w:cs="Arial" w:eastAsia="Arial" w:hAnsi="Arial"/>
          <w:color w:val="000000"/>
          <w:sz w:val="20"/>
          <w:szCs w:val="20"/>
        </w:rPr>
        <w:t xml:space="preserve">CSE 4204 — Mobile Computing Lab  |  Team CSE4204-8B-T04</w:t>
      </w:r>
    </w:p>
    <w:p>
      <w:pPr>
        <w:spacing w:after="180"/>
      </w:pPr>
      <w:r>
        <w:rPr>
          <w:rFonts w:ascii="Arial" w:cs="Arial" w:eastAsia="Arial" w:hAnsi="Arial"/>
          <w:b/>
          <w:bCs/>
          <w:color w:val="000000"/>
          <w:sz w:val="24"/>
          <w:szCs w:val="24"/>
        </w:rPr>
        <w:t xml:space="preserve">Week 12 Deliverable — Final Project Report</w:t>
      </w:r>
    </w:p>
    <w:sdt>
      <w:sdtPr>
        <w:alias w:val="Contents"/>
      </w:sdtPr>
      <w:sdtContent>
        <w:p>
          <w:r>
            <w:fldChar w:fldCharType="begin" w:dirty="true"/>
            <w:instrText xml:space="preserve">TOC \h \o "1-2"</w:instrText>
            <w:fldChar w:fldCharType="separate"/>
          </w:r>
        </w:p>
        <w:p>
          <w:r>
            <w:fldChar w:fldCharType="end"/>
          </w:r>
        </w:p>
      </w:sdtContent>
    </w:sdt>
    <w:p>
      <w:pPr>
        <w:pStyle w:val="Heading1"/>
        <w:spacing w:after="140" w:before="260"/>
      </w:pPr>
      <w:r>
        <w:rPr>
          <w:rFonts w:ascii="Arial" w:cs="Arial" w:eastAsia="Arial" w:hAnsi="Arial"/>
          <w:b/>
          <w:bCs/>
          <w:color w:val="000000"/>
        </w:rPr>
        <w:t xml:space="preserve">1. Introduction</w:t>
      </w:r>
    </w:p>
    <w:p>
      <w:pPr>
        <w:spacing w:after="120" w:line="276"/>
        <w:jc w:val="both"/>
      </w:pPr>
      <w:r>
        <w:rPr>
          <w:rFonts w:ascii="Arial" w:cs="Arial" w:eastAsia="Arial" w:hAnsi="Arial"/>
          <w:color w:val="000000"/>
        </w:rPr>
        <w:t xml:space="preserve">Enterprise NeXus — Multi-Agent AI Business Automation OS with Security Intelligence — is a full-stack, AI-integrated web platform developed for CSE 4204 (Mobile Computing Lab). It unifies and intelligently automates core business functions for small and medium enterprises, startups, and growing organisations. The platform deploys five specialised AI agents — HR, Finance, Support, Analytics, and an orchestrating Executive agent — that collaborate through a central orchestration layer and deliver synthesised intelligence to a role-based web dashboard, with a dedicated Security Intelligence module monitoring the system.</w:t>
      </w:r>
    </w:p>
    <w:p>
      <w:pPr>
        <w:pStyle w:val="Heading1"/>
        <w:spacing w:after="140" w:before="260"/>
      </w:pPr>
      <w:r>
        <w:rPr>
          <w:rFonts w:ascii="Arial" w:cs="Arial" w:eastAsia="Arial" w:hAnsi="Arial"/>
          <w:b/>
          <w:bCs/>
          <w:color w:val="000000"/>
        </w:rPr>
        <w:t xml:space="preserve">2. Team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Name</w:t>
            </w:r>
          </w:p>
        </w:tc>
        <w:tc>
          <w:tcPr>
            <w:tcW w:type="dxa" w:w="20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Student ID</w:t>
            </w:r>
          </w:p>
        </w:tc>
        <w:tc>
          <w:tcPr>
            <w:tcW w:type="dxa" w:w="41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Role</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Nazmus Sakib</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11220320888</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Team Leader &amp; AI Integration Lead</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Shoeb Shariar Mashuk</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11220320878</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Backend Developer</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Most Sumiya Sanjida</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11220320874</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Frontend Developer — 1</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Sabrina Ibrahim</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11220320895</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Database Manager &amp; Frontend Developer — 2</w:t>
            </w:r>
          </w:p>
        </w:tc>
      </w:tr>
    </w:tbl>
    <w:p>
      <w:pPr>
        <w:spacing w:after="120" w:line="276"/>
        <w:jc w:val="both"/>
      </w:pPr>
      <w:r>
        <w:rPr>
          <w:rFonts w:ascii="Arial" w:cs="Arial" w:eastAsia="Arial" w:hAnsi="Arial"/>
          <w:color w:val="000000"/>
        </w:rPr>
        <w:t xml:space="preserve"/>
      </w:r>
    </w:p>
    <w:p>
      <w:pPr>
        <w:pStyle w:val="Heading1"/>
        <w:spacing w:after="140" w:before="260"/>
      </w:pPr>
      <w:r>
        <w:rPr>
          <w:rFonts w:ascii="Arial" w:cs="Arial" w:eastAsia="Arial" w:hAnsi="Arial"/>
          <w:b/>
          <w:bCs/>
          <w:color w:val="000000"/>
        </w:rPr>
        <w:t xml:space="preserve">3. Problem Statement</w:t>
      </w:r>
    </w:p>
    <w:p>
      <w:pPr>
        <w:spacing w:after="120" w:line="276"/>
        <w:jc w:val="both"/>
      </w:pPr>
      <w:r>
        <w:rPr>
          <w:rFonts w:ascii="Arial" w:cs="Arial" w:eastAsia="Arial" w:hAnsi="Arial"/>
          <w:color w:val="000000"/>
        </w:rPr>
        <w:t xml:space="preserve">Small and medium enterprises run HR, finance, support, and analytics on disconnected tools, forcing staff into repetitive manual work — screening CVs, checking expenses for anomalies, triaging tickets, and compiling reports — with no unified intelligence across departments. Existing enterprise suites are expensive, complex, and rarely bring genuine AI reasoning to bear on a company’s own data. Enterprise NeXus addresses this gap by unifying these functions into one platform where autonomous AI agents operate directly on the organisation’s data and a single executive view synthesises everything.</w:t>
      </w:r>
    </w:p>
    <w:p>
      <w:pPr>
        <w:pStyle w:val="Heading1"/>
        <w:spacing w:after="140" w:before="260"/>
      </w:pPr>
      <w:r>
        <w:rPr>
          <w:rFonts w:ascii="Arial" w:cs="Arial" w:eastAsia="Arial" w:hAnsi="Arial"/>
          <w:b/>
          <w:bCs/>
          <w:color w:val="000000"/>
        </w:rPr>
        <w:t xml:space="preserve">4. Objectives</w:t>
      </w:r>
    </w:p>
    <w:p>
      <w:pPr>
        <w:pStyle w:val="ListParagraph"/>
        <w:numPr>
          <w:ilvl w:val="0"/>
          <w:numId w:val="2"/>
        </w:numPr>
        <w:spacing w:after="40" w:line="264"/>
      </w:pPr>
      <w:r>
        <w:rPr>
          <w:rFonts w:ascii="Arial" w:cs="Arial" w:eastAsia="Arial" w:hAnsi="Arial"/>
          <w:color w:val="000000"/>
        </w:rPr>
        <w:t xml:space="preserve">Automate department-level operations with five specialised, autonomous AI agents.</w:t>
      </w:r>
    </w:p>
    <w:p>
      <w:pPr>
        <w:pStyle w:val="ListParagraph"/>
        <w:numPr>
          <w:ilvl w:val="0"/>
          <w:numId w:val="2"/>
        </w:numPr>
        <w:spacing w:after="40" w:line="264"/>
      </w:pPr>
      <w:r>
        <w:rPr>
          <w:rFonts w:ascii="Arial" w:cs="Arial" w:eastAsia="Arial" w:hAnsi="Arial"/>
          <w:color w:val="000000"/>
        </w:rPr>
        <w:t xml:space="preserve">Deliver intelligent decision support — scores, anomaly alerts, KPI narratives, and strategic briefings — using Google Gemini.</w:t>
      </w:r>
    </w:p>
    <w:p>
      <w:pPr>
        <w:pStyle w:val="ListParagraph"/>
        <w:numPr>
          <w:ilvl w:val="0"/>
          <w:numId w:val="2"/>
        </w:numPr>
        <w:spacing w:after="40" w:line="264"/>
      </w:pPr>
      <w:r>
        <w:rPr>
          <w:rFonts w:ascii="Arial" w:cs="Arial" w:eastAsia="Arial" w:hAnsi="Arial"/>
          <w:color w:val="000000"/>
        </w:rPr>
        <w:t xml:space="preserve">Centralise HR, financial, support, and operational data into one real-time dashboard.</w:t>
      </w:r>
    </w:p>
    <w:p>
      <w:pPr>
        <w:pStyle w:val="ListParagraph"/>
        <w:numPr>
          <w:ilvl w:val="0"/>
          <w:numId w:val="2"/>
        </w:numPr>
        <w:spacing w:after="40" w:line="264"/>
      </w:pPr>
      <w:r>
        <w:rPr>
          <w:rFonts w:ascii="Arial" w:cs="Arial" w:eastAsia="Arial" w:hAnsi="Arial"/>
          <w:color w:val="000000"/>
        </w:rPr>
        <w:t xml:space="preserve">Ensure enterprise-grade security through JWT authentication, RBAC, hashing, rate limiting, and Row-Level Security.</w:t>
      </w:r>
    </w:p>
    <w:p>
      <w:pPr>
        <w:pStyle w:val="ListParagraph"/>
        <w:numPr>
          <w:ilvl w:val="0"/>
          <w:numId w:val="2"/>
        </w:numPr>
        <w:spacing w:after="40" w:line="264"/>
      </w:pPr>
      <w:r>
        <w:rPr>
          <w:rFonts w:ascii="Arial" w:cs="Arial" w:eastAsia="Arial" w:hAnsi="Arial"/>
          <w:color w:val="000000"/>
        </w:rPr>
        <w:t xml:space="preserve">Enable scalable, cloud-native deployment with Docker, CI, Vercel, Render, and Supabase.</w:t>
      </w:r>
    </w:p>
    <w:p>
      <w:pPr>
        <w:pStyle w:val="ListParagraph"/>
        <w:numPr>
          <w:ilvl w:val="0"/>
          <w:numId w:val="2"/>
        </w:numPr>
        <w:spacing w:after="40" w:line="264"/>
      </w:pPr>
      <w:r>
        <w:rPr>
          <w:rFonts w:ascii="Arial" w:cs="Arial" w:eastAsia="Arial" w:hAnsi="Arial"/>
          <w:color w:val="000000"/>
        </w:rPr>
        <w:t xml:space="preserve">Demonstrate complete, well-documented full-stack AI engineering as an academic deliverable.</w:t>
      </w:r>
    </w:p>
    <w:p>
      <w:pPr>
        <w:pStyle w:val="Heading1"/>
        <w:spacing w:after="140" w:before="260"/>
      </w:pPr>
      <w:r>
        <w:rPr>
          <w:rFonts w:ascii="Arial" w:cs="Arial" w:eastAsia="Arial" w:hAnsi="Arial"/>
          <w:b/>
          <w:bCs/>
          <w:color w:val="000000"/>
        </w:rPr>
        <w:t xml:space="preserve">5. Methodology</w:t>
      </w:r>
    </w:p>
    <w:p>
      <w:pPr>
        <w:spacing w:after="120" w:line="276"/>
        <w:jc w:val="both"/>
      </w:pPr>
      <w:r>
        <w:rPr>
          <w:rFonts w:ascii="Arial" w:cs="Arial" w:eastAsia="Arial" w:hAnsi="Arial"/>
          <w:color w:val="000000"/>
        </w:rPr>
        <w:t xml:space="preserve">The project followed the handbook’s week-by-week software-engineering workflow: team formation and idea selection, proposal, SRS, system design, UI/UX design, backend development, frontend development, AI integration, feature completion, testing, deployment, and documentation. Development used GitHub for version control with meaningful commits, feature branches, pull requests, and a CI pipeline enforcing lint, build, and test on every change.</w:t>
      </w:r>
    </w:p>
    <w:p>
      <w:pPr>
        <w:pStyle w:val="Heading1"/>
        <w:spacing w:after="140" w:before="260"/>
      </w:pPr>
      <w:r>
        <w:rPr>
          <w:rFonts w:ascii="Arial" w:cs="Arial" w:eastAsia="Arial" w:hAnsi="Arial"/>
          <w:b/>
          <w:bCs/>
          <w:color w:val="000000"/>
        </w:rPr>
        <w:t xml:space="preserve">6. System Architecture</w:t>
      </w:r>
    </w:p>
    <w:p>
      <w:pPr>
        <w:spacing w:after="120" w:line="276"/>
        <w:jc w:val="both"/>
      </w:pPr>
      <w:r>
        <w:rPr>
          <w:rFonts w:ascii="Arial" w:cs="Arial" w:eastAsia="Arial" w:hAnsi="Arial"/>
          <w:color w:val="000000"/>
        </w:rPr>
        <w:t xml:space="preserve">Enterprise NeXus uses a three-tier, cloud-native architecture. A Next.js frontend communicates over authenticated REST with a Node.js/Express backend, which persists data in a Supabase PostgreSQL database (with pgvector for embeddings) and calls Google Gemini through a hardened AI client. Real-time updates flow through Supabase Realtime, and recurring processes are automated with n8n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Layer</w:t>
            </w:r>
          </w:p>
        </w:tc>
        <w:tc>
          <w:tcPr>
            <w:tcW w:type="dxa" w:w="67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Technology</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Frontend</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Next.js 14 (App Router), React 18, TypeScript, Tailwind CSS, SWR, Recharts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Backend</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Node.js, Express, Joi validation, Winston logging</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Authentication</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JWT (access + hashed refresh) + bcryptjs, RBAC</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Database</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PostgreSQL (Supabase) with Row-Level Security</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Vector Search / RAG</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Supabase pgvector + match_documents RPC</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AI</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Google Gemini + LangChain.js, Gemini text-embedding-004</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Automation</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n8n workflows via backend webhooks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DevOps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Docker, GitHub Actions CI, Vercel, Render, Sentry</w:t>
            </w:r>
          </w:p>
        </w:tc>
      </w:tr>
    </w:tbl>
    <w:p>
      <w:pPr>
        <w:pStyle w:val="Heading2"/>
        <w:spacing w:after="100" w:before="200"/>
      </w:pPr>
      <w:r>
        <w:rPr>
          <w:rFonts w:ascii="Arial" w:cs="Arial" w:eastAsia="Arial" w:hAnsi="Arial"/>
          <w:b/>
          <w:bCs/>
          <w:color w:val="000000"/>
        </w:rPr>
        <w:t xml:space="preserve">6.1 Database Design</w:t>
      </w:r>
    </w:p>
    <w:p>
      <w:pPr>
        <w:spacing w:after="120" w:line="276"/>
        <w:jc w:val="both"/>
      </w:pPr>
      <w:r>
        <w:rPr>
          <w:rFonts w:ascii="Arial" w:cs="Arial" w:eastAsia="Arial" w:hAnsi="Arial"/>
          <w:color w:val="000000"/>
        </w:rPr>
        <w:t xml:space="preserve">The schema comprises eleven tables, all using UUID primary keys, TIMESTAMPTZ timestamps, CHECK constraints for enumerations, foreign keys with appropriate cascade behaviour, indexes on foreign keys and hot columns, and Row-Level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Table</w:t>
            </w:r>
          </w:p>
        </w:tc>
        <w:tc>
          <w:tcPr>
            <w:tcW w:type="dxa" w:w="65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Purpose</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roles / users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Role definitions and user accounts (RBAC)</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user_sessions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Hashed refresh tokens for JWT revocation</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password_reset_tokens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Time-limited single-use reset tokens</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hr_reports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AI-scored candidate screening reports</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finance_records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Expense records with AI anomaly detection</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support_tickets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Tickets with AI sentiment/urgency analysis</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analytics_reports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AI KPI and performance reports</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executive_reports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Cross-domain executive briefings</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tasks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Agent task/delegation queue (traceability)</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audit_logs</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Immutable security audit trail</w:t>
            </w:r>
          </w:p>
        </w:tc>
      </w:tr>
    </w:tbl>
    <w:p>
      <w:pPr>
        <w:pStyle w:val="Heading1"/>
        <w:spacing w:after="140" w:before="260"/>
      </w:pPr>
      <w:r>
        <w:rPr>
          <w:rFonts w:ascii="Arial" w:cs="Arial" w:eastAsia="Arial" w:hAnsi="Arial"/>
          <w:b/>
          <w:bCs/>
          <w:color w:val="000000"/>
        </w:rPr>
        <w:t xml:space="preserve">7. AI Integration</w:t>
      </w:r>
    </w:p>
    <w:p>
      <w:pPr>
        <w:spacing w:after="120" w:line="276"/>
        <w:jc w:val="both"/>
      </w:pPr>
      <w:r>
        <w:rPr>
          <w:rFonts w:ascii="Arial" w:cs="Arial" w:eastAsia="Arial" w:hAnsi="Arial"/>
          <w:color w:val="000000"/>
        </w:rPr>
        <w:t xml:space="preserve">The AI layer is the heart of the system. All five agents inherit from a BaseAgent that binds domain tools, runs a bounded LangChain tool-calling loop, and validates output against a Joi schema. The Executive agent orchestrates the four specialists, delegating self-contained sub-questions and synthesising their answers while maintaining conversation memory. A Retrieval-Augmented Generation pipeline embeds documents and records with Gemini text-embedding-004 (768-dim) into pgvector and retrieves the top matches via the match_documents RPC to ground answers. A hardened Gemini client enforces timeouts, retries, and native JSON output, and the system never fabricates fallback data — on AI failure it stores a pending status instead. (Full detail in the Week 08 AI Integration report.)</w:t>
      </w:r>
    </w:p>
    <w:p>
      <w:pPr>
        <w:pStyle w:val="Heading1"/>
        <w:spacing w:after="140" w:before="260"/>
      </w:pPr>
      <w:r>
        <w:rPr>
          <w:rFonts w:ascii="Arial" w:cs="Arial" w:eastAsia="Arial" w:hAnsi="Arial"/>
          <w:b/>
          <w:bCs/>
          <w:color w:val="000000"/>
        </w:rPr>
        <w:t xml:space="preserve">8. Key Features</w:t>
      </w:r>
    </w:p>
    <w:p>
      <w:pPr>
        <w:pStyle w:val="ListParagraph"/>
        <w:numPr>
          <w:ilvl w:val="0"/>
          <w:numId w:val="3"/>
        </w:numPr>
        <w:spacing w:after="40" w:line="264"/>
      </w:pPr>
      <w:r>
        <w:rPr>
          <w:rFonts w:ascii="Arial" w:cs="Arial" w:eastAsia="Arial" w:hAnsi="Arial"/>
          <w:color w:val="000000"/>
        </w:rPr>
        <w:t xml:space="preserve">Multi-agent orchestration across HR, Finance, Support, Analytics, and Executive domains.</w:t>
      </w:r>
    </w:p>
    <w:p>
      <w:pPr>
        <w:pStyle w:val="ListParagraph"/>
        <w:numPr>
          <w:ilvl w:val="0"/>
          <w:numId w:val="3"/>
        </w:numPr>
        <w:spacing w:after="40" w:line="264"/>
      </w:pPr>
      <w:r>
        <w:rPr>
          <w:rFonts w:ascii="Arial" w:cs="Arial" w:eastAsia="Arial" w:hAnsi="Arial"/>
          <w:color w:val="000000"/>
        </w:rPr>
        <w:t xml:space="preserve">Intelligent CV screening with AI scores, recommendations, and narrative summaries.</w:t>
      </w:r>
    </w:p>
    <w:p>
      <w:pPr>
        <w:pStyle w:val="ListParagraph"/>
        <w:numPr>
          <w:ilvl w:val="0"/>
          <w:numId w:val="3"/>
        </w:numPr>
        <w:spacing w:after="40" w:line="264"/>
      </w:pPr>
      <w:r>
        <w:rPr>
          <w:rFonts w:ascii="Arial" w:cs="Arial" w:eastAsia="Arial" w:hAnsi="Arial"/>
          <w:color w:val="000000"/>
        </w:rPr>
        <w:t xml:space="preserve">Financial anomaly detection, invoice parsing, and bulk expense import.</w:t>
      </w:r>
    </w:p>
    <w:p>
      <w:pPr>
        <w:pStyle w:val="ListParagraph"/>
        <w:numPr>
          <w:ilvl w:val="0"/>
          <w:numId w:val="3"/>
        </w:numPr>
        <w:spacing w:after="40" w:line="264"/>
      </w:pPr>
      <w:r>
        <w:rPr>
          <w:rFonts w:ascii="Arial" w:cs="Arial" w:eastAsia="Arial" w:hAnsi="Arial"/>
          <w:color w:val="000000"/>
        </w:rPr>
        <w:t xml:space="preserve">Context-aware customer support with RAG-grounded replies and auto-escalation.</w:t>
      </w:r>
    </w:p>
    <w:p>
      <w:pPr>
        <w:pStyle w:val="ListParagraph"/>
        <w:numPr>
          <w:ilvl w:val="0"/>
          <w:numId w:val="3"/>
        </w:numPr>
        <w:spacing w:after="40" w:line="264"/>
      </w:pPr>
      <w:r>
        <w:rPr>
          <w:rFonts w:ascii="Arial" w:cs="Arial" w:eastAsia="Arial" w:hAnsi="Arial"/>
          <w:color w:val="000000"/>
        </w:rPr>
        <w:t xml:space="preserve">Cross-domain executive briefings with PDF export.</w:t>
      </w:r>
    </w:p>
    <w:p>
      <w:pPr>
        <w:pStyle w:val="ListParagraph"/>
        <w:numPr>
          <w:ilvl w:val="0"/>
          <w:numId w:val="3"/>
        </w:numPr>
        <w:spacing w:after="40" w:line="264"/>
      </w:pPr>
      <w:r>
        <w:rPr>
          <w:rFonts w:ascii="Arial" w:cs="Arial" w:eastAsia="Arial" w:hAnsi="Arial"/>
          <w:color w:val="000000"/>
        </w:rPr>
        <w:t xml:space="preserve">Semantic knowledge-base search over embedded documents.</w:t>
      </w:r>
    </w:p>
    <w:p>
      <w:pPr>
        <w:pStyle w:val="ListParagraph"/>
        <w:numPr>
          <w:ilvl w:val="0"/>
          <w:numId w:val="3"/>
        </w:numPr>
        <w:spacing w:after="40" w:line="264"/>
      </w:pPr>
      <w:r>
        <w:rPr>
          <w:rFonts w:ascii="Arial" w:cs="Arial" w:eastAsia="Arial" w:hAnsi="Arial"/>
          <w:color w:val="000000"/>
        </w:rPr>
        <w:t xml:space="preserve">Security Intelligence: audit-log viewer, security stats, and role-based access.</w:t>
      </w:r>
    </w:p>
    <w:p>
      <w:pPr>
        <w:pStyle w:val="ListParagraph"/>
        <w:numPr>
          <w:ilvl w:val="0"/>
          <w:numId w:val="3"/>
        </w:numPr>
        <w:spacing w:after="40" w:line="264"/>
      </w:pPr>
      <w:r>
        <w:rPr>
          <w:rFonts w:ascii="Arial" w:cs="Arial" w:eastAsia="Arial" w:hAnsi="Arial"/>
          <w:color w:val="000000"/>
        </w:rPr>
        <w:t xml:space="preserve">Real-time dashboard and live agent-activity feed.</w:t>
      </w:r>
    </w:p>
    <w:p>
      <w:pPr>
        <w:pStyle w:val="Heading1"/>
        <w:spacing w:after="140" w:before="260"/>
      </w:pPr>
      <w:r>
        <w:rPr>
          <w:rFonts w:ascii="Arial" w:cs="Arial" w:eastAsia="Arial" w:hAnsi="Arial"/>
          <w:b/>
          <w:bCs/>
          <w:color w:val="000000"/>
        </w:rPr>
        <w:t xml:space="preserve">9. Testing</w:t>
      </w:r>
    </w:p>
    <w:p>
      <w:pPr>
        <w:spacing w:after="120" w:line="276"/>
        <w:jc w:val="both"/>
      </w:pPr>
      <w:r>
        <w:rPr>
          <w:rFonts w:ascii="Arial" w:cs="Arial" w:eastAsia="Arial" w:hAnsi="Arial"/>
          <w:color w:val="000000"/>
        </w:rPr>
        <w:t xml:space="preserve">The system is validated by seven automated Jest/Supertest suites (≈65 test cases) covering authentication, the AI client, RAG, agent APIs, the executive orchestrator, and the no-fake-data guarantee, plus manual UI testing across devices and Postman API testing. A GitHub Actions pipeline runs lint, build, and test on every push. (Full detail in the Week 10 Testing report.)</w:t>
      </w:r>
    </w:p>
    <w:p>
      <w:pPr>
        <w:pStyle w:val="Heading1"/>
        <w:spacing w:after="140" w:before="260"/>
      </w:pPr>
      <w:r>
        <w:rPr>
          <w:rFonts w:ascii="Arial" w:cs="Arial" w:eastAsia="Arial" w:hAnsi="Arial"/>
          <w:b/>
          <w:bCs/>
          <w:color w:val="000000"/>
        </w:rPr>
        <w:t xml:space="preserve">10. Results</w:t>
      </w:r>
    </w:p>
    <w:p>
      <w:pPr>
        <w:spacing w:after="120" w:line="276"/>
        <w:jc w:val="both"/>
      </w:pPr>
      <w:r>
        <w:rPr>
          <w:rFonts w:ascii="Arial" w:cs="Arial" w:eastAsia="Arial" w:hAnsi="Arial"/>
          <w:color w:val="000000"/>
        </w:rPr>
        <w:t xml:space="preserve">Enterprise NeXus was delivered as a complete, deployed, and demonstrable system: all proposed modules are implemented end-to-end, the five-agent AI layer operates reliably over real user data with grounded output, and the platform is live on Vercel (frontend), Render (backend), and Supabase (database). The project meets every item on the handbook’s minimum requirements checklist — frontend, backend, database, authentication, AI integration, deployment, documentation, GitHub repository, and testing.</w:t>
      </w:r>
    </w:p>
    <w:p>
      <w:pPr>
        <w:pStyle w:val="Heading1"/>
        <w:spacing w:after="140" w:before="260"/>
      </w:pPr>
      <w:r>
        <w:rPr>
          <w:rFonts w:ascii="Arial" w:cs="Arial" w:eastAsia="Arial" w:hAnsi="Arial"/>
          <w:b/>
          <w:bCs/>
          <w:color w:val="000000"/>
        </w:rPr>
        <w:t xml:space="preserve">11.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Challenge</w:t>
            </w:r>
          </w:p>
        </w:tc>
        <w:tc>
          <w:tcPr>
            <w:tcW w:type="dxa" w:w="53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Solution</w:t>
            </w:r>
          </w:p>
        </w:tc>
      </w:tr>
      <w:tr>
        <w:tc>
          <w:tcPr>
            <w:tcW w:type="dxa" w:w="4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LLMs returning unstructured / invalid output</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Gemini native JSON mode with response schemas + Joi validation</w:t>
            </w:r>
          </w:p>
        </w:tc>
      </w:tr>
      <w:tr>
        <w:tc>
          <w:tcPr>
            <w:tcW w:type="dxa" w:w="4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Preventing fabricated AI results on outage</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Typed AiUnavailableError + graceful pending status, enforced by tests</w:t>
            </w:r>
          </w:p>
        </w:tc>
      </w:tr>
      <w:tr>
        <w:tc>
          <w:tcPr>
            <w:tcW w:type="dxa" w:w="4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Coordinating five agents coherently</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Executive orchestrator with delegation tracing and conversation memory</w:t>
            </w:r>
          </w:p>
        </w:tc>
      </w:tr>
      <w:tr>
        <w:tc>
          <w:tcPr>
            <w:tcW w:type="dxa" w:w="4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Grounding answers in company knowledge</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RAG pipeline with Gemini embeddings and pgvector similarity search</w:t>
            </w:r>
          </w:p>
        </w:tc>
      </w:tr>
      <w:tr>
        <w:tc>
          <w:tcPr>
            <w:tcW w:type="dxa" w:w="4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Per-user data isolation</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PostgreSQL Row-Level Security and scoped queries</w:t>
            </w:r>
          </w:p>
        </w:tc>
      </w:tr>
    </w:tbl>
    <w:p>
      <w:pPr>
        <w:pStyle w:val="Heading1"/>
        <w:spacing w:after="140" w:before="260"/>
      </w:pPr>
      <w:r>
        <w:rPr>
          <w:rFonts w:ascii="Arial" w:cs="Arial" w:eastAsia="Arial" w:hAnsi="Arial"/>
          <w:b/>
          <w:bCs/>
          <w:color w:val="000000"/>
        </w:rPr>
        <w:t xml:space="preserve">12. Future Work</w:t>
      </w:r>
    </w:p>
    <w:p>
      <w:pPr>
        <w:pStyle w:val="ListParagraph"/>
        <w:numPr>
          <w:ilvl w:val="0"/>
          <w:numId w:val="3"/>
        </w:numPr>
        <w:spacing w:after="40" w:line="264"/>
      </w:pPr>
      <w:r>
        <w:rPr>
          <w:rFonts w:ascii="Arial" w:cs="Arial" w:eastAsia="Arial" w:hAnsi="Arial"/>
          <w:color w:val="000000"/>
        </w:rPr>
        <w:t xml:space="preserve">Add more specialised agents (for example Legal and Marketing).</w:t>
      </w:r>
    </w:p>
    <w:p>
      <w:pPr>
        <w:pStyle w:val="ListParagraph"/>
        <w:numPr>
          <w:ilvl w:val="0"/>
          <w:numId w:val="3"/>
        </w:numPr>
        <w:spacing w:after="40" w:line="264"/>
      </w:pPr>
      <w:r>
        <w:rPr>
          <w:rFonts w:ascii="Arial" w:cs="Arial" w:eastAsia="Arial" w:hAnsi="Arial"/>
          <w:color w:val="000000"/>
        </w:rPr>
        <w:t xml:space="preserve">Support additional LLM providers and on-device/local models.</w:t>
      </w:r>
    </w:p>
    <w:p>
      <w:pPr>
        <w:pStyle w:val="ListParagraph"/>
        <w:numPr>
          <w:ilvl w:val="0"/>
          <w:numId w:val="3"/>
        </w:numPr>
        <w:spacing w:after="40" w:line="264"/>
      </w:pPr>
      <w:r>
        <w:rPr>
          <w:rFonts w:ascii="Arial" w:cs="Arial" w:eastAsia="Arial" w:hAnsi="Arial"/>
          <w:color w:val="000000"/>
        </w:rPr>
        <w:t xml:space="preserve">Deeper analytics with forecasting and trend prediction.</w:t>
      </w:r>
    </w:p>
    <w:p>
      <w:pPr>
        <w:pStyle w:val="ListParagraph"/>
        <w:numPr>
          <w:ilvl w:val="0"/>
          <w:numId w:val="3"/>
        </w:numPr>
        <w:spacing w:after="40" w:line="264"/>
      </w:pPr>
      <w:r>
        <w:rPr>
          <w:rFonts w:ascii="Arial" w:cs="Arial" w:eastAsia="Arial" w:hAnsi="Arial"/>
          <w:color w:val="000000"/>
        </w:rPr>
        <w:t xml:space="preserve">Native mobile client and richer real-time collaboration.</w:t>
      </w:r>
    </w:p>
    <w:p>
      <w:pPr>
        <w:pStyle w:val="ListParagraph"/>
        <w:numPr>
          <w:ilvl w:val="0"/>
          <w:numId w:val="3"/>
        </w:numPr>
        <w:spacing w:after="40" w:line="264"/>
      </w:pPr>
      <w:r>
        <w:rPr>
          <w:rFonts w:ascii="Arial" w:cs="Arial" w:eastAsia="Arial" w:hAnsi="Arial"/>
          <w:color w:val="000000"/>
        </w:rPr>
        <w:t xml:space="preserve">Fine-grained, organisation-level multi-tenant workspaces.</w:t>
      </w:r>
    </w:p>
    <w:p>
      <w:pPr>
        <w:pStyle w:val="Heading1"/>
        <w:spacing w:after="140" w:before="260"/>
      </w:pPr>
      <w:r>
        <w:rPr>
          <w:rFonts w:ascii="Arial" w:cs="Arial" w:eastAsia="Arial" w:hAnsi="Arial"/>
          <w:b/>
          <w:bCs/>
          <w:color w:val="000000"/>
        </w:rPr>
        <w:t xml:space="preserve">13. Conclusion</w:t>
      </w:r>
    </w:p>
    <w:p>
      <w:pPr>
        <w:spacing w:after="120" w:line="276"/>
        <w:jc w:val="both"/>
      </w:pPr>
      <w:r>
        <w:rPr>
          <w:rFonts w:ascii="Arial" w:cs="Arial" w:eastAsia="Arial" w:hAnsi="Arial"/>
          <w:color w:val="000000"/>
        </w:rPr>
        <w:t xml:space="preserve">Enterprise NeXus demonstrates practical, meaningful AI integration within a professionally engineered full-stack system. The project fulfils the goals of CSE 4204 — thinking like software engineers, working like a professional team, and building a portfolio-quality, AI-integrated product that is complete, stable, well-designed, tested, documented, and deployed.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CSE4204-8B-T04  —  Enterprise NeXus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2026-07-06T19:28:26.863Z</dcterms:created>
  <dcterms:modified xsi:type="dcterms:W3CDTF">2026-07-06T19:28:26.864Z</dcterms:modified>
</cp:coreProperties>
</file>

<file path=docProps/custom.xml><?xml version="1.0" encoding="utf-8"?>
<Properties xmlns="http://schemas.openxmlformats.org/officeDocument/2006/custom-properties" xmlns:vt="http://schemas.openxmlformats.org/officeDocument/2006/docPropsVTypes"/>
</file>