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0000"/>
          <w:sz w:val="30"/>
          <w:szCs w:val="30"/>
        </w:rPr>
        <w:t xml:space="preserve">Enterprise NeXus — Multi-Agent AI Business Automation OS with Security Intelligence</w:t>
      </w:r>
    </w:p>
    <w:p>
      <w:pPr>
        <w:spacing w:after="40"/>
      </w:pPr>
      <w:r>
        <w:rPr>
          <w:rFonts w:ascii="Arial" w:cs="Arial" w:eastAsia="Arial" w:hAnsi="Arial"/>
          <w:color w:val="000000"/>
          <w:sz w:val="20"/>
          <w:szCs w:val="20"/>
        </w:rPr>
        <w:t xml:space="preserve">CSE 4204 — Mobile Computing Lab  |  Team CSE4204-8B-T04</w:t>
      </w:r>
    </w:p>
    <w:p>
      <w:pPr>
        <w:spacing w:after="180"/>
      </w:pPr>
      <w:r>
        <w:rPr>
          <w:rFonts w:ascii="Arial" w:cs="Arial" w:eastAsia="Arial" w:hAnsi="Arial"/>
          <w:b/>
          <w:bCs/>
          <w:color w:val="000000"/>
          <w:sz w:val="24"/>
          <w:szCs w:val="24"/>
        </w:rPr>
        <w:t xml:space="preserve">Week 12 Deliverable — User Manual</w:t>
      </w:r>
    </w:p>
    <w:p>
      <w:pPr>
        <w:pStyle w:val="Heading1"/>
        <w:spacing w:after="140" w:before="260"/>
      </w:pPr>
      <w:r>
        <w:rPr>
          <w:rFonts w:ascii="Arial" w:cs="Arial" w:eastAsia="Arial" w:hAnsi="Arial"/>
          <w:b/>
          <w:bCs/>
          <w:color w:val="000000"/>
        </w:rPr>
        <w:t xml:space="preserve">1. Introduction</w:t>
      </w:r>
    </w:p>
    <w:p>
      <w:pPr>
        <w:spacing w:after="120" w:line="276"/>
        <w:jc w:val="both"/>
      </w:pPr>
      <w:r>
        <w:rPr>
          <w:rFonts w:ascii="Arial" w:cs="Arial" w:eastAsia="Arial" w:hAnsi="Arial"/>
          <w:color w:val="000000"/>
        </w:rPr>
        <w:t xml:space="preserve">This user manual explains how to install, configure, and use Enterprise NeXus — Multi-Agent AI Business Automation OS with Security Intelligence. It is written for end users of the platform (business staff and administrators) and for developers setting the system up locally. Enterprise NeXus brings HR, Finance, Support, Analytics, and Executive intelligence into a single web dashboard powered by five AI agents.</w:t>
      </w:r>
    </w:p>
    <w:p>
      <w:pPr>
        <w:pStyle w:val="Heading1"/>
        <w:spacing w:after="140" w:before="260"/>
      </w:pPr>
      <w:r>
        <w:rPr>
          <w:rFonts w:ascii="Arial" w:cs="Arial" w:eastAsia="Arial" w:hAnsi="Arial"/>
          <w:b/>
          <w:bCs/>
          <w:color w:val="000000"/>
        </w:rPr>
        <w:t xml:space="preserve">2. Team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Name</w:t>
            </w:r>
          </w:p>
        </w:tc>
        <w:tc>
          <w:tcPr>
            <w:tcW w:type="dxa" w:w="20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Student ID</w:t>
            </w:r>
          </w:p>
        </w:tc>
        <w:tc>
          <w:tcPr>
            <w:tcW w:type="dxa" w:w="416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Role</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Nazmus Sakib</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11220320888</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Team Leader &amp; AI Integration Lead</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Shoeb Shariar Mashuk</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11220320878</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Backend Developer</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Most Sumiya Sanjida</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11220320874</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Frontend Developer — 1</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Sabrina Ibrahim</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11220320895</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Database Manager &amp; Frontend Developer — 2</w:t>
            </w:r>
          </w:p>
        </w:tc>
      </w:tr>
    </w:tbl>
    <w:p>
      <w:pPr>
        <w:spacing w:after="120" w:line="276"/>
        <w:jc w:val="both"/>
      </w:pPr>
      <w:r>
        <w:rPr>
          <w:rFonts w:ascii="Arial" w:cs="Arial" w:eastAsia="Arial" w:hAnsi="Arial"/>
          <w:color w:val="000000"/>
        </w:rPr>
        <w:t xml:space="preserve"/>
      </w:r>
    </w:p>
    <w:p>
      <w:pPr>
        <w:pStyle w:val="Heading1"/>
        <w:spacing w:after="140" w:before="260"/>
      </w:pPr>
      <w:r>
        <w:rPr>
          <w:rFonts w:ascii="Arial" w:cs="Arial" w:eastAsia="Arial" w:hAnsi="Arial"/>
          <w:b/>
          <w:bCs/>
          <w:color w:val="000000"/>
        </w:rPr>
        <w:t xml:space="preserve">3. System Requirements</w:t>
      </w:r>
    </w:p>
    <w:p>
      <w:pPr>
        <w:pStyle w:val="ListParagraph"/>
        <w:numPr>
          <w:ilvl w:val="0"/>
          <w:numId w:val="2"/>
        </w:numPr>
        <w:spacing w:after="40" w:line="264"/>
      </w:pPr>
      <w:r>
        <w:rPr>
          <w:rFonts w:ascii="Arial" w:cs="Arial" w:eastAsia="Arial" w:hAnsi="Arial"/>
          <w:color w:val="000000"/>
        </w:rPr>
        <w:t xml:space="preserve">A modern web browser (Chrome, Edge, Firefox, or Safari) — no installation needed to use the hosted app.</w:t>
      </w:r>
    </w:p>
    <w:p>
      <w:pPr>
        <w:pStyle w:val="ListParagraph"/>
        <w:numPr>
          <w:ilvl w:val="0"/>
          <w:numId w:val="2"/>
        </w:numPr>
        <w:spacing w:after="40" w:line="264"/>
      </w:pPr>
      <w:r>
        <w:rPr>
          <w:rFonts w:ascii="Arial" w:cs="Arial" w:eastAsia="Arial" w:hAnsi="Arial"/>
          <w:color w:val="000000"/>
        </w:rPr>
        <w:t xml:space="preserve">For local development: Node.js 20+, npm, a Supabase project, and a Google Gemini API key.</w:t>
      </w:r>
    </w:p>
    <w:p>
      <w:pPr>
        <w:pStyle w:val="Heading1"/>
        <w:spacing w:after="140" w:before="260"/>
      </w:pPr>
      <w:r>
        <w:rPr>
          <w:rFonts w:ascii="Arial" w:cs="Arial" w:eastAsia="Arial" w:hAnsi="Arial"/>
          <w:b/>
          <w:bCs/>
          <w:color w:val="000000"/>
        </w:rPr>
        <w:t xml:space="preserve">4. Installation (Developers)</w:t>
      </w:r>
    </w:p>
    <w:p>
      <w:pPr>
        <w:spacing w:after="120" w:line="276"/>
        <w:jc w:val="both"/>
      </w:pPr>
      <w:r>
        <w:rPr>
          <w:rFonts w:ascii="Arial" w:cs="Arial" w:eastAsia="Arial" w:hAnsi="Arial"/>
          <w:color w:val="000000"/>
        </w:rPr>
        <w:t xml:space="preserve">To run Enterprise NeXus locally:</w:t>
      </w:r>
    </w:p>
    <w:p>
      <w:pPr>
        <w:pStyle w:val="ListParagraph"/>
        <w:numPr>
          <w:ilvl w:val="0"/>
          <w:numId w:val="3"/>
        </w:numPr>
        <w:spacing w:after="40" w:line="264"/>
      </w:pPr>
      <w:r>
        <w:rPr>
          <w:rFonts w:ascii="Arial" w:cs="Arial" w:eastAsia="Arial" w:hAnsi="Arial"/>
          <w:color w:val="000000"/>
        </w:rPr>
        <w:t xml:space="preserve">Clone the repository from GitHub and open it in a terminal.</w:t>
      </w:r>
    </w:p>
    <w:p>
      <w:pPr>
        <w:pStyle w:val="ListParagraph"/>
        <w:numPr>
          <w:ilvl w:val="0"/>
          <w:numId w:val="3"/>
        </w:numPr>
        <w:spacing w:after="40" w:line="264"/>
      </w:pPr>
      <w:r>
        <w:rPr>
          <w:rFonts w:ascii="Arial" w:cs="Arial" w:eastAsia="Arial" w:hAnsi="Arial"/>
          <w:color w:val="000000"/>
        </w:rPr>
        <w:t xml:space="preserve">Backend: cd backend, run npm install, copy .env.example to .env, and fill in SUPABASE_URL, SUPABASE_SERVICE_ROLE_KEY, JWT_SECRET, and GEMINI_API_KEY.</w:t>
      </w:r>
    </w:p>
    <w:p>
      <w:pPr>
        <w:pStyle w:val="ListParagraph"/>
        <w:numPr>
          <w:ilvl w:val="0"/>
          <w:numId w:val="3"/>
        </w:numPr>
        <w:spacing w:after="40" w:line="264"/>
      </w:pPr>
      <w:r>
        <w:rPr>
          <w:rFonts w:ascii="Arial" w:cs="Arial" w:eastAsia="Arial" w:hAnsi="Arial"/>
          <w:color w:val="000000"/>
        </w:rPr>
        <w:t xml:space="preserve">Apply the database schema from database/001_initial_schema.sql (and the migrations) to your Supabase project.</w:t>
      </w:r>
    </w:p>
    <w:p>
      <w:pPr>
        <w:pStyle w:val="ListParagraph"/>
        <w:numPr>
          <w:ilvl w:val="0"/>
          <w:numId w:val="3"/>
        </w:numPr>
        <w:spacing w:after="40" w:line="264"/>
      </w:pPr>
      <w:r>
        <w:rPr>
          <w:rFonts w:ascii="Arial" w:cs="Arial" w:eastAsia="Arial" w:hAnsi="Arial"/>
          <w:color w:val="000000"/>
        </w:rPr>
        <w:t xml:space="preserve">Start the backend with npm run dev (defaults to http://localhost:5000).</w:t>
      </w:r>
    </w:p>
    <w:p>
      <w:pPr>
        <w:pStyle w:val="ListParagraph"/>
        <w:numPr>
          <w:ilvl w:val="0"/>
          <w:numId w:val="3"/>
        </w:numPr>
        <w:spacing w:after="40" w:line="264"/>
      </w:pPr>
      <w:r>
        <w:rPr>
          <w:rFonts w:ascii="Arial" w:cs="Arial" w:eastAsia="Arial" w:hAnsi="Arial"/>
          <w:color w:val="000000"/>
        </w:rPr>
        <w:t xml:space="preserve">Frontend: cd frontend, run npm install, set NEXT_PUBLIC_API_URL to the backend URL, and run npm run dev (http://localhost:3000).</w:t>
      </w:r>
    </w:p>
    <w:p>
      <w:pPr>
        <w:pStyle w:val="ListParagraph"/>
        <w:numPr>
          <w:ilvl w:val="0"/>
          <w:numId w:val="3"/>
        </w:numPr>
        <w:spacing w:after="40" w:line="264"/>
      </w:pPr>
      <w:r>
        <w:rPr>
          <w:rFonts w:ascii="Arial" w:cs="Arial" w:eastAsia="Arial" w:hAnsi="Arial"/>
          <w:color w:val="000000"/>
        </w:rPr>
        <w:t xml:space="preserve">Alternatively, run the whole stack with docker-compose up.</w:t>
      </w:r>
    </w:p>
    <w:p>
      <w:pPr>
        <w:pStyle w:val="Heading1"/>
        <w:spacing w:after="140" w:before="260"/>
      </w:pPr>
      <w:r>
        <w:rPr>
          <w:rFonts w:ascii="Arial" w:cs="Arial" w:eastAsia="Arial" w:hAnsi="Arial"/>
          <w:b/>
          <w:bCs/>
          <w:color w:val="000000"/>
        </w:rPr>
        <w:t xml:space="preserve">5. Getting Started</w:t>
      </w:r>
    </w:p>
    <w:p>
      <w:pPr>
        <w:pStyle w:val="Heading2"/>
        <w:spacing w:after="100" w:before="200"/>
      </w:pPr>
      <w:r>
        <w:rPr>
          <w:rFonts w:ascii="Arial" w:cs="Arial" w:eastAsia="Arial" w:hAnsi="Arial"/>
          <w:b/>
          <w:bCs/>
          <w:color w:val="000000"/>
        </w:rPr>
        <w:t xml:space="preserve">5.1 Registration</w:t>
      </w:r>
    </w:p>
    <w:p>
      <w:pPr>
        <w:spacing w:after="120" w:line="276"/>
        <w:jc w:val="both"/>
      </w:pPr>
      <w:r>
        <w:rPr>
          <w:rFonts w:ascii="Arial" w:cs="Arial" w:eastAsia="Arial" w:hAnsi="Arial"/>
          <w:color w:val="000000"/>
        </w:rPr>
        <w:t xml:space="preserve">Open the app and choose Register. Enter your name, email, and a password. Your account is created and you are signed in. The first users can be assigned elevated roles (admin/manager) by an administrator.</w:t>
      </w:r>
    </w:p>
    <w:p>
      <w:pPr>
        <w:pStyle w:val="Heading2"/>
        <w:spacing w:after="100" w:before="200"/>
      </w:pPr>
      <w:r>
        <w:rPr>
          <w:rFonts w:ascii="Arial" w:cs="Arial" w:eastAsia="Arial" w:hAnsi="Arial"/>
          <w:b/>
          <w:bCs/>
          <w:color w:val="000000"/>
        </w:rPr>
        <w:t xml:space="preserve">5.2 Login</w:t>
      </w:r>
    </w:p>
    <w:p>
      <w:pPr>
        <w:spacing w:after="120" w:line="276"/>
        <w:jc w:val="both"/>
      </w:pPr>
      <w:r>
        <w:rPr>
          <w:rFonts w:ascii="Arial" w:cs="Arial" w:eastAsia="Arial" w:hAnsi="Arial"/>
          <w:color w:val="000000"/>
        </w:rPr>
        <w:t xml:space="preserve">Choose Login, enter your email and password, and you are taken to the dashboard. Sessions are secured with JWT tokens; if you are inactive, your session refreshes automatically while valid. Use Logout from the top bar to end your session.</w:t>
      </w:r>
    </w:p>
    <w:p>
      <w:pPr>
        <w:pStyle w:val="Heading2"/>
        <w:spacing w:after="100" w:before="200"/>
      </w:pPr>
      <w:r>
        <w:rPr>
          <w:rFonts w:ascii="Arial" w:cs="Arial" w:eastAsia="Arial" w:hAnsi="Arial"/>
          <w:b/>
          <w:bCs/>
          <w:color w:val="000000"/>
        </w:rPr>
        <w:t xml:space="preserve">5.3 Forgot / Reset Password</w:t>
      </w:r>
    </w:p>
    <w:p>
      <w:pPr>
        <w:spacing w:after="120" w:line="276"/>
        <w:jc w:val="both"/>
      </w:pPr>
      <w:r>
        <w:rPr>
          <w:rFonts w:ascii="Arial" w:cs="Arial" w:eastAsia="Arial" w:hAnsi="Arial"/>
          <w:color w:val="000000"/>
        </w:rPr>
        <w:t xml:space="preserve">On the login screen, choose Forgot Password and enter your email. A time-limited reset link is issued; follow it to set a new password.</w:t>
      </w:r>
    </w:p>
    <w:p>
      <w:pPr>
        <w:pStyle w:val="Heading1"/>
        <w:spacing w:after="140" w:before="260"/>
      </w:pPr>
      <w:r>
        <w:rPr>
          <w:rFonts w:ascii="Arial" w:cs="Arial" w:eastAsia="Arial" w:hAnsi="Arial"/>
          <w:b/>
          <w:bCs/>
          <w:color w:val="000000"/>
        </w:rPr>
        <w:t xml:space="preserve">6. Using the Dashboard</w:t>
      </w:r>
    </w:p>
    <w:p>
      <w:pPr>
        <w:spacing w:after="120" w:line="276"/>
        <w:jc w:val="both"/>
      </w:pPr>
      <w:r>
        <w:rPr>
          <w:rFonts w:ascii="Arial" w:cs="Arial" w:eastAsia="Arial" w:hAnsi="Arial"/>
          <w:color w:val="000000"/>
        </w:rPr>
        <w:t xml:space="preserve">After login you land on the main dashboard, which summarises activity across all modules with live statistics and a real-time agent-activity feed. Navigate between modules using the left sidebar.</w:t>
      </w:r>
    </w:p>
    <w:p>
      <w:pPr>
        <w:pStyle w:val="Heading1"/>
        <w:spacing w:after="140" w:before="260"/>
      </w:pPr>
      <w:r>
        <w:rPr>
          <w:rFonts w:ascii="Arial" w:cs="Arial" w:eastAsia="Arial" w:hAnsi="Arial"/>
          <w:b/>
          <w:bCs/>
          <w:color w:val="000000"/>
        </w:rPr>
        <w:t xml:space="preserve">7. Module Guide</w:t>
      </w:r>
    </w:p>
    <w:p>
      <w:pPr>
        <w:pStyle w:val="Heading3"/>
        <w:spacing w:after="80" w:before="160"/>
      </w:pPr>
      <w:r>
        <w:rPr>
          <w:rFonts w:ascii="Arial" w:cs="Arial" w:eastAsia="Arial" w:hAnsi="Arial"/>
          <w:b/>
          <w:bCs/>
          <w:color w:val="000000"/>
        </w:rPr>
        <w:t xml:space="preserve">7.1 HR — CV Screening</w:t>
      </w:r>
    </w:p>
    <w:p>
      <w:pPr>
        <w:pStyle w:val="ListParagraph"/>
        <w:numPr>
          <w:ilvl w:val="0"/>
          <w:numId w:val="3"/>
        </w:numPr>
        <w:spacing w:after="40" w:line="264"/>
      </w:pPr>
      <w:r>
        <w:rPr>
          <w:rFonts w:ascii="Arial" w:cs="Arial" w:eastAsia="Arial" w:hAnsi="Arial"/>
          <w:color w:val="000000"/>
        </w:rPr>
        <w:t xml:space="preserve">Open the HR module and choose Upload CV.</w:t>
      </w:r>
    </w:p>
    <w:p>
      <w:pPr>
        <w:pStyle w:val="ListParagraph"/>
        <w:numPr>
          <w:ilvl w:val="0"/>
          <w:numId w:val="3"/>
        </w:numPr>
        <w:spacing w:after="40" w:line="264"/>
      </w:pPr>
      <w:r>
        <w:rPr>
          <w:rFonts w:ascii="Arial" w:cs="Arial" w:eastAsia="Arial" w:hAnsi="Arial"/>
          <w:color w:val="000000"/>
        </w:rPr>
        <w:t xml:space="preserve">Provide the candidate name, job title, and a CV file (PDF or DOCX).</w:t>
      </w:r>
    </w:p>
    <w:p>
      <w:pPr>
        <w:pStyle w:val="ListParagraph"/>
        <w:numPr>
          <w:ilvl w:val="0"/>
          <w:numId w:val="3"/>
        </w:numPr>
        <w:spacing w:after="40" w:line="264"/>
      </w:pPr>
      <w:r>
        <w:rPr>
          <w:rFonts w:ascii="Arial" w:cs="Arial" w:eastAsia="Arial" w:hAnsi="Arial"/>
          <w:color w:val="000000"/>
        </w:rPr>
        <w:t xml:space="preserve">The HR agent screens the CV and produces an AI score, confidence, recommendation (shortlist/review/reject), a score breakdown, and a narrative summary.</w:t>
      </w:r>
    </w:p>
    <w:p>
      <w:pPr>
        <w:pStyle w:val="ListParagraph"/>
        <w:numPr>
          <w:ilvl w:val="0"/>
          <w:numId w:val="3"/>
        </w:numPr>
        <w:spacing w:after="40" w:line="264"/>
      </w:pPr>
      <w:r>
        <w:rPr>
          <w:rFonts w:ascii="Arial" w:cs="Arial" w:eastAsia="Arial" w:hAnsi="Arial"/>
          <w:color w:val="000000"/>
        </w:rPr>
        <w:t xml:space="preserve">Open any candidate for detail, or ask the HR agent questions such as “Show my top shortlisted candidates.”</w:t>
      </w:r>
    </w:p>
    <w:p>
      <w:pPr>
        <w:pStyle w:val="Heading3"/>
        <w:spacing w:after="80" w:before="160"/>
      </w:pPr>
      <w:r>
        <w:rPr>
          <w:rFonts w:ascii="Arial" w:cs="Arial" w:eastAsia="Arial" w:hAnsi="Arial"/>
          <w:b/>
          <w:bCs/>
          <w:color w:val="000000"/>
        </w:rPr>
        <w:t xml:space="preserve">7.2 Finance — Expense &amp; Anomaly Analysis</w:t>
      </w:r>
    </w:p>
    <w:p>
      <w:pPr>
        <w:pStyle w:val="ListParagraph"/>
        <w:numPr>
          <w:ilvl w:val="0"/>
          <w:numId w:val="3"/>
        </w:numPr>
        <w:spacing w:after="40" w:line="264"/>
      </w:pPr>
      <w:r>
        <w:rPr>
          <w:rFonts w:ascii="Arial" w:cs="Arial" w:eastAsia="Arial" w:hAnsi="Arial"/>
          <w:color w:val="000000"/>
        </w:rPr>
        <w:t xml:space="preserve">Open the Finance module. Add an expense manually, upload an invoice, or bulk-import a spreadsheet.</w:t>
      </w:r>
    </w:p>
    <w:p>
      <w:pPr>
        <w:pStyle w:val="ListParagraph"/>
        <w:numPr>
          <w:ilvl w:val="0"/>
          <w:numId w:val="3"/>
        </w:numPr>
        <w:spacing w:after="40" w:line="264"/>
      </w:pPr>
      <w:r>
        <w:rPr>
          <w:rFonts w:ascii="Arial" w:cs="Arial" w:eastAsia="Arial" w:hAnsi="Arial"/>
          <w:color w:val="000000"/>
        </w:rPr>
        <w:t xml:space="preserve">Each record is analysed and assigned an anomaly severity with an explanatory note.</w:t>
      </w:r>
    </w:p>
    <w:p>
      <w:pPr>
        <w:pStyle w:val="ListParagraph"/>
        <w:numPr>
          <w:ilvl w:val="0"/>
          <w:numId w:val="3"/>
        </w:numPr>
        <w:spacing w:after="40" w:line="264"/>
      </w:pPr>
      <w:r>
        <w:rPr>
          <w:rFonts w:ascii="Arial" w:cs="Arial" w:eastAsia="Arial" w:hAnsi="Arial"/>
          <w:color w:val="000000"/>
        </w:rPr>
        <w:t xml:space="preserve">Use the Finance agent to ask, for example, “List high-severity expenses this month.”</w:t>
      </w:r>
    </w:p>
    <w:p>
      <w:pPr>
        <w:pStyle w:val="Heading3"/>
        <w:spacing w:after="80" w:before="160"/>
      </w:pPr>
      <w:r>
        <w:rPr>
          <w:rFonts w:ascii="Arial" w:cs="Arial" w:eastAsia="Arial" w:hAnsi="Arial"/>
          <w:b/>
          <w:bCs/>
          <w:color w:val="000000"/>
        </w:rPr>
        <w:t xml:space="preserve">7.3 Support — Ticket Triage</w:t>
      </w:r>
    </w:p>
    <w:p>
      <w:pPr>
        <w:pStyle w:val="ListParagraph"/>
        <w:numPr>
          <w:ilvl w:val="0"/>
          <w:numId w:val="3"/>
        </w:numPr>
        <w:spacing w:after="40" w:line="264"/>
      </w:pPr>
      <w:r>
        <w:rPr>
          <w:rFonts w:ascii="Arial" w:cs="Arial" w:eastAsia="Arial" w:hAnsi="Arial"/>
          <w:color w:val="000000"/>
        </w:rPr>
        <w:t xml:space="preserve">Open the Support module and create a ticket, or review existing ones.</w:t>
      </w:r>
    </w:p>
    <w:p>
      <w:pPr>
        <w:pStyle w:val="ListParagraph"/>
        <w:numPr>
          <w:ilvl w:val="0"/>
          <w:numId w:val="3"/>
        </w:numPr>
        <w:spacing w:after="40" w:line="264"/>
      </w:pPr>
      <w:r>
        <w:rPr>
          <w:rFonts w:ascii="Arial" w:cs="Arial" w:eastAsia="Arial" w:hAnsi="Arial"/>
          <w:color w:val="000000"/>
        </w:rPr>
        <w:t xml:space="preserve">The Support agent detects intent, urgency, and sentiment, and can draft a reply grounded in the knowledge base.</w:t>
      </w:r>
    </w:p>
    <w:p>
      <w:pPr>
        <w:pStyle w:val="ListParagraph"/>
        <w:numPr>
          <w:ilvl w:val="0"/>
          <w:numId w:val="3"/>
        </w:numPr>
        <w:spacing w:after="40" w:line="264"/>
      </w:pPr>
      <w:r>
        <w:rPr>
          <w:rFonts w:ascii="Arial" w:cs="Arial" w:eastAsia="Arial" w:hAnsi="Arial"/>
          <w:color w:val="000000"/>
        </w:rPr>
        <w:t xml:space="preserve">Escalate or resolve tickets from the ticket detail view.</w:t>
      </w:r>
    </w:p>
    <w:p>
      <w:pPr>
        <w:pStyle w:val="Heading3"/>
        <w:spacing w:after="80" w:before="160"/>
      </w:pPr>
      <w:r>
        <w:rPr>
          <w:rFonts w:ascii="Arial" w:cs="Arial" w:eastAsia="Arial" w:hAnsi="Arial"/>
          <w:b/>
          <w:bCs/>
          <w:color w:val="000000"/>
        </w:rPr>
        <w:t xml:space="preserve">7.4 Analytics</w:t>
      </w:r>
    </w:p>
    <w:p>
      <w:pPr>
        <w:spacing w:after="120" w:line="276"/>
        <w:jc w:val="both"/>
      </w:pPr>
      <w:r>
        <w:rPr>
          <w:rFonts w:ascii="Arial" w:cs="Arial" w:eastAsia="Arial" w:hAnsi="Arial"/>
          <w:color w:val="000000"/>
        </w:rPr>
        <w:t xml:space="preserve">The Analytics module shows a cross-module KPI snapshot and lets you generate a full AI performance report with charts.</w:t>
      </w:r>
    </w:p>
    <w:p>
      <w:pPr>
        <w:pStyle w:val="Heading3"/>
        <w:spacing w:after="80" w:before="160"/>
      </w:pPr>
      <w:r>
        <w:rPr>
          <w:rFonts w:ascii="Arial" w:cs="Arial" w:eastAsia="Arial" w:hAnsi="Arial"/>
          <w:b/>
          <w:bCs/>
          <w:color w:val="000000"/>
        </w:rPr>
        <w:t xml:space="preserve">7.5 Executive</w:t>
      </w:r>
    </w:p>
    <w:p>
      <w:pPr>
        <w:spacing w:after="120" w:line="276"/>
        <w:jc w:val="both"/>
      </w:pPr>
      <w:r>
        <w:rPr>
          <w:rFonts w:ascii="Arial" w:cs="Arial" w:eastAsia="Arial" w:hAnsi="Arial"/>
          <w:color w:val="000000"/>
        </w:rPr>
        <w:t xml:space="preserve">Ask the Executive agent a cross-domain question (for example, “Give me today’s briefing across hiring, spend, and support.”). It delegates to the specialist agents and returns a synthesised answer. Daily briefings can be exported to PDF.</w:t>
      </w:r>
    </w:p>
    <w:p>
      <w:pPr>
        <w:pStyle w:val="Heading3"/>
        <w:spacing w:after="80" w:before="160"/>
      </w:pPr>
      <w:r>
        <w:rPr>
          <w:rFonts w:ascii="Arial" w:cs="Arial" w:eastAsia="Arial" w:hAnsi="Arial"/>
          <w:b/>
          <w:bCs/>
          <w:color w:val="000000"/>
        </w:rPr>
        <w:t xml:space="preserve">7.6 Security Intelligence</w:t>
      </w:r>
    </w:p>
    <w:p>
      <w:pPr>
        <w:spacing w:after="120" w:line="276"/>
        <w:jc w:val="both"/>
      </w:pPr>
      <w:r>
        <w:rPr>
          <w:rFonts w:ascii="Arial" w:cs="Arial" w:eastAsia="Arial" w:hAnsi="Arial"/>
          <w:color w:val="000000"/>
        </w:rPr>
        <w:t xml:space="preserve">Administrators and managers can view the audit-log trail and security statistics to monitor system activity and access.</w:t>
      </w:r>
    </w:p>
    <w:p>
      <w:pPr>
        <w:pStyle w:val="Heading3"/>
        <w:spacing w:after="80" w:before="160"/>
      </w:pPr>
      <w:r>
        <w:rPr>
          <w:rFonts w:ascii="Arial" w:cs="Arial" w:eastAsia="Arial" w:hAnsi="Arial"/>
          <w:b/>
          <w:bCs/>
          <w:color w:val="000000"/>
        </w:rPr>
        <w:t xml:space="preserve">7.7 Knowledge Base</w:t>
      </w:r>
    </w:p>
    <w:p>
      <w:pPr>
        <w:spacing w:after="120" w:line="276"/>
        <w:jc w:val="both"/>
      </w:pPr>
      <w:r>
        <w:rPr>
          <w:rFonts w:ascii="Arial" w:cs="Arial" w:eastAsia="Arial" w:hAnsi="Arial"/>
          <w:color w:val="000000"/>
        </w:rPr>
        <w:t xml:space="preserve">Upload company documents and policies. They are embedded for semantic search so agents can ground their answers in your organisation’s own material.</w:t>
      </w:r>
    </w:p>
    <w:p>
      <w:pPr>
        <w:pStyle w:val="Heading1"/>
        <w:spacing w:after="140" w:before="260"/>
      </w:pPr>
      <w:r>
        <w:rPr>
          <w:rFonts w:ascii="Arial" w:cs="Arial" w:eastAsia="Arial" w:hAnsi="Arial"/>
          <w:b/>
          <w:bCs/>
          <w:color w:val="000000"/>
        </w:rPr>
        <w:t xml:space="preserve">8.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Role</w:t>
            </w:r>
          </w:p>
        </w:tc>
        <w:tc>
          <w:tcPr>
            <w:tcW w:type="dxa" w:w="716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Typical Permissions</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Admin</w:t>
            </w:r>
          </w:p>
        </w:tc>
        <w:tc>
          <w:tcPr>
            <w:tcW w:type="dxa" w:w="7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Full access — user/role management, knowledge management, delete records</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Manager</w:t>
            </w:r>
          </w:p>
        </w:tc>
        <w:tc>
          <w:tcPr>
            <w:tcW w:type="dxa" w:w="7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Read all audit logs, update records, create reports</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User</w:t>
            </w:r>
          </w:p>
        </w:tc>
        <w:tc>
          <w:tcPr>
            <w:tcW w:type="dxa" w:w="7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Manage own records across all modules</w:t>
            </w:r>
          </w:p>
        </w:tc>
      </w:tr>
    </w:tbl>
    <w:p>
      <w:pPr>
        <w:pStyle w:val="Heading1"/>
        <w:spacing w:after="140" w:before="260"/>
      </w:pPr>
      <w:r>
        <w:rPr>
          <w:rFonts w:ascii="Arial" w:cs="Arial" w:eastAsia="Arial" w:hAnsi="Arial"/>
          <w:b/>
          <w:bCs/>
          <w:color w:val="000000"/>
        </w:rPr>
        <w:t xml:space="preserve">9. Notifications &amp; Settings</w:t>
      </w:r>
    </w:p>
    <w:p>
      <w:pPr>
        <w:spacing w:after="120" w:line="276"/>
        <w:jc w:val="both"/>
      </w:pPr>
      <w:r>
        <w:rPr>
          <w:rFonts w:ascii="Arial" w:cs="Arial" w:eastAsia="Arial" w:hAnsi="Arial"/>
          <w:color w:val="000000"/>
        </w:rPr>
        <w:t xml:space="preserve">In-app notifications alert you to important events (for example escalations and completed reports). Open Settings to update your profile and notification preferences.</w:t>
      </w:r>
    </w:p>
    <w:p>
      <w:pPr>
        <w:pStyle w:val="Heading1"/>
        <w:spacing w:after="140" w:before="260"/>
      </w:pPr>
      <w:r>
        <w:rPr>
          <w:rFonts w:ascii="Arial" w:cs="Arial" w:eastAsia="Arial" w:hAnsi="Arial"/>
          <w:b/>
          <w:bCs/>
          <w:color w:val="000000"/>
        </w:rP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Symptom</w:t>
            </w:r>
          </w:p>
        </w:tc>
        <w:tc>
          <w:tcPr>
            <w:tcW w:type="dxa" w:w="32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Likely Cause</w:t>
            </w:r>
          </w:p>
        </w:tc>
        <w:tc>
          <w:tcPr>
            <w:tcW w:type="dxa" w:w="376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What To Do</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First request is slow</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Backend cold start (free tier)</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Wait ~30s; it stays warm afterwards</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AI result shows “pending”</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Temporary AI outage</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Use Retry Analysis on the record</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Cannot log in</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Wrong credentials / inactive account</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Reset password or contact an admin</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Action blocked</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Insufficient role permission</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Request access from an administrator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CSE4204-8B-T04  —  Enterprise NeXus   |   Page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2026-07-06T19:24:15.892Z</dcterms:created>
  <dcterms:modified xsi:type="dcterms:W3CDTF">2026-07-06T19:24:15.893Z</dcterms:modified>
</cp:coreProperties>
</file>

<file path=docProps/custom.xml><?xml version="1.0" encoding="utf-8"?>
<Properties xmlns="http://schemas.openxmlformats.org/officeDocument/2006/custom-properties" xmlns:vt="http://schemas.openxmlformats.org/officeDocument/2006/docPropsVTypes"/>
</file>