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9FC7" w14:textId="77777777" w:rsidR="00CF3E41" w:rsidRPr="00584D45" w:rsidRDefault="00000000" w:rsidP="00584D45">
      <w:pPr>
        <w:rPr>
          <w:rFonts w:ascii="Arial" w:hAnsi="Arial" w:cs="Arial"/>
          <w:sz w:val="24"/>
          <w:szCs w:val="24"/>
        </w:rPr>
      </w:pPr>
      <w:r w:rsidRPr="00584D45">
        <w:rPr>
          <w:rFonts w:ascii="Arial" w:hAnsi="Arial" w:cs="Arial"/>
          <w:sz w:val="24"/>
          <w:szCs w:val="24"/>
        </w:rPr>
        <w:t>Informe del Arquitecto de Software - Caso 10</w:t>
      </w:r>
    </w:p>
    <w:p w14:paraId="65958250" w14:textId="77777777" w:rsidR="00CF3E41" w:rsidRPr="00584D45" w:rsidRDefault="00000000" w:rsidP="00584D45">
      <w:pPr>
        <w:rPr>
          <w:rFonts w:ascii="Arial" w:hAnsi="Arial" w:cs="Arial"/>
          <w:sz w:val="24"/>
          <w:szCs w:val="24"/>
        </w:rPr>
      </w:pPr>
      <w:r w:rsidRPr="00584D45">
        <w:rPr>
          <w:rFonts w:ascii="Arial" w:hAnsi="Arial" w:cs="Arial"/>
          <w:sz w:val="24"/>
          <w:szCs w:val="24"/>
        </w:rPr>
        <w:t>Universidad Privada Franz Tamayo (UNIFRANZ)</w:t>
      </w:r>
    </w:p>
    <w:p w14:paraId="33B51BEB" w14:textId="77777777" w:rsidR="00CF3E41" w:rsidRPr="00584D45" w:rsidRDefault="00000000" w:rsidP="00584D45">
      <w:pPr>
        <w:rPr>
          <w:rFonts w:ascii="Arial" w:hAnsi="Arial" w:cs="Arial"/>
          <w:sz w:val="24"/>
          <w:szCs w:val="24"/>
        </w:rPr>
      </w:pPr>
      <w:r w:rsidRPr="00584D45">
        <w:rPr>
          <w:rFonts w:ascii="Arial" w:hAnsi="Arial" w:cs="Arial"/>
          <w:b/>
          <w:sz w:val="24"/>
          <w:szCs w:val="24"/>
        </w:rPr>
        <w:t xml:space="preserve">Estudiante: </w:t>
      </w:r>
      <w:r w:rsidRPr="00584D45">
        <w:rPr>
          <w:rFonts w:ascii="Arial" w:hAnsi="Arial" w:cs="Arial"/>
          <w:sz w:val="24"/>
          <w:szCs w:val="24"/>
        </w:rPr>
        <w:t>Carlos Daniel Valverde Mendoza</w:t>
      </w:r>
      <w:r w:rsidRPr="00584D45">
        <w:rPr>
          <w:rFonts w:ascii="Arial" w:hAnsi="Arial" w:cs="Arial"/>
          <w:sz w:val="24"/>
          <w:szCs w:val="24"/>
        </w:rPr>
        <w:br/>
      </w:r>
      <w:r w:rsidRPr="00584D45">
        <w:rPr>
          <w:rFonts w:ascii="Arial" w:hAnsi="Arial" w:cs="Arial"/>
          <w:b/>
          <w:sz w:val="24"/>
          <w:szCs w:val="24"/>
        </w:rPr>
        <w:t xml:space="preserve">Rol Asignado: </w:t>
      </w:r>
      <w:r w:rsidRPr="00584D45">
        <w:rPr>
          <w:rFonts w:ascii="Arial" w:hAnsi="Arial" w:cs="Arial"/>
          <w:sz w:val="24"/>
          <w:szCs w:val="24"/>
        </w:rPr>
        <w:t>Arquitecto de Software</w:t>
      </w:r>
      <w:r w:rsidRPr="00584D45">
        <w:rPr>
          <w:rFonts w:ascii="Arial" w:hAnsi="Arial" w:cs="Arial"/>
          <w:sz w:val="24"/>
          <w:szCs w:val="24"/>
        </w:rPr>
        <w:br/>
      </w:r>
      <w:r w:rsidRPr="00584D45">
        <w:rPr>
          <w:rFonts w:ascii="Arial" w:hAnsi="Arial" w:cs="Arial"/>
          <w:b/>
          <w:sz w:val="24"/>
          <w:szCs w:val="24"/>
        </w:rPr>
        <w:t xml:space="preserve">Arquitectura Seleccionada: </w:t>
      </w:r>
      <w:r w:rsidRPr="00584D45">
        <w:rPr>
          <w:rFonts w:ascii="Arial" w:hAnsi="Arial" w:cs="Arial"/>
          <w:sz w:val="24"/>
          <w:szCs w:val="24"/>
        </w:rPr>
        <w:t>Monolito Modular en Capas (con API Gateway y Bus de Eventos)</w:t>
      </w:r>
      <w:r w:rsidRPr="00584D45">
        <w:rPr>
          <w:rFonts w:ascii="Arial" w:hAnsi="Arial" w:cs="Arial"/>
          <w:sz w:val="24"/>
          <w:szCs w:val="24"/>
        </w:rPr>
        <w:br/>
      </w:r>
    </w:p>
    <w:p w14:paraId="45FCCC94" w14:textId="77777777" w:rsidR="00CF3E41" w:rsidRPr="00584D45" w:rsidRDefault="00000000" w:rsidP="00584D45">
      <w:pPr>
        <w:rPr>
          <w:rFonts w:ascii="Arial" w:hAnsi="Arial" w:cs="Arial"/>
          <w:b/>
          <w:bCs/>
          <w:sz w:val="24"/>
          <w:szCs w:val="24"/>
        </w:rPr>
      </w:pPr>
      <w:r w:rsidRPr="00584D45">
        <w:rPr>
          <w:rFonts w:ascii="Arial" w:hAnsi="Arial" w:cs="Arial"/>
          <w:b/>
          <w:bCs/>
          <w:sz w:val="24"/>
          <w:szCs w:val="24"/>
        </w:rPr>
        <w:t>1. Resumen de Responsabilidades y Selección Arquitectónica</w:t>
      </w:r>
    </w:p>
    <w:p w14:paraId="0E412B2D" w14:textId="77777777" w:rsidR="00CF3E41" w:rsidRPr="00584D45" w:rsidRDefault="00000000" w:rsidP="00584D45">
      <w:pPr>
        <w:rPr>
          <w:rFonts w:ascii="Arial" w:hAnsi="Arial" w:cs="Arial"/>
          <w:sz w:val="24"/>
          <w:szCs w:val="24"/>
        </w:rPr>
      </w:pPr>
      <w:r w:rsidRPr="00584D45">
        <w:rPr>
          <w:rFonts w:ascii="Arial" w:hAnsi="Arial" w:cs="Arial"/>
          <w:sz w:val="24"/>
          <w:szCs w:val="24"/>
        </w:rPr>
        <w:t xml:space="preserve">En el marco de la Evaluación Procesual Grupal Hito 3 de Ingeniería de Software 2, asumo el rol de Arquitecto de Software para el Caso 10 (Universidad Privada Franz Tamayo - UNIFRANZ). Luego de analizar los requerimientos de las 8 sedes, la heterogeneidad de los 15 sistemas existentes y las capacidades técnicas del equipo interno de TI (10 personas sin cultura DevOps), se ha seleccionado una Arquitectura Híbrida cuyo núcleo central es </w:t>
      </w:r>
      <w:proofErr w:type="gramStart"/>
      <w:r w:rsidRPr="00584D45">
        <w:rPr>
          <w:rFonts w:ascii="Arial" w:hAnsi="Arial" w:cs="Arial"/>
          <w:sz w:val="24"/>
          <w:szCs w:val="24"/>
        </w:rPr>
        <w:t>un Monolito</w:t>
      </w:r>
      <w:proofErr w:type="gramEnd"/>
      <w:r w:rsidRPr="00584D45">
        <w:rPr>
          <w:rFonts w:ascii="Arial" w:hAnsi="Arial" w:cs="Arial"/>
          <w:sz w:val="24"/>
          <w:szCs w:val="24"/>
        </w:rPr>
        <w:t xml:space="preserve"> Modular en Capas, complementado con </w:t>
      </w:r>
      <w:proofErr w:type="gramStart"/>
      <w:r w:rsidRPr="00584D45">
        <w:rPr>
          <w:rFonts w:ascii="Arial" w:hAnsi="Arial" w:cs="Arial"/>
          <w:sz w:val="24"/>
          <w:szCs w:val="24"/>
        </w:rPr>
        <w:t>un API Gateway</w:t>
      </w:r>
      <w:proofErr w:type="gramEnd"/>
      <w:r w:rsidRPr="00584D45">
        <w:rPr>
          <w:rFonts w:ascii="Arial" w:hAnsi="Arial" w:cs="Arial"/>
          <w:sz w:val="24"/>
          <w:szCs w:val="24"/>
        </w:rPr>
        <w:t xml:space="preserve"> para interoperabilidad y un bus de eventos para notificaciones.</w:t>
      </w:r>
    </w:p>
    <w:p w14:paraId="752215EA" w14:textId="77777777" w:rsidR="00CF3E41" w:rsidRPr="00584D45" w:rsidRDefault="00000000" w:rsidP="00584D45">
      <w:pPr>
        <w:rPr>
          <w:rFonts w:ascii="Arial" w:hAnsi="Arial" w:cs="Arial"/>
          <w:b/>
          <w:bCs/>
          <w:sz w:val="24"/>
          <w:szCs w:val="24"/>
        </w:rPr>
      </w:pPr>
      <w:r w:rsidRPr="00584D45">
        <w:rPr>
          <w:rFonts w:ascii="Arial" w:hAnsi="Arial" w:cs="Arial"/>
          <w:b/>
          <w:bCs/>
          <w:sz w:val="24"/>
          <w:szCs w:val="24"/>
        </w:rPr>
        <w:t>2. Justificación Técnica de la Arquitectura Seleccionada</w:t>
      </w:r>
    </w:p>
    <w:p w14:paraId="37AFB788" w14:textId="77777777" w:rsidR="00CF3E41" w:rsidRPr="00584D45" w:rsidRDefault="00000000" w:rsidP="00584D45">
      <w:pPr>
        <w:rPr>
          <w:rFonts w:ascii="Arial" w:hAnsi="Arial" w:cs="Arial"/>
          <w:sz w:val="24"/>
          <w:szCs w:val="24"/>
        </w:rPr>
      </w:pPr>
      <w:r w:rsidRPr="00584D45">
        <w:rPr>
          <w:rFonts w:ascii="Arial" w:hAnsi="Arial" w:cs="Arial"/>
          <w:sz w:val="24"/>
          <w:szCs w:val="24"/>
        </w:rPr>
        <w:t>La elección del Monolito Modular en Capas resuelve de manera directa la principal contradicción técnica entre la Directora de Sistemas (que proponía microservicios con Kubernetes) y el Director de TI (quien exigía una solución viable para un equipo reducido). Un monolito modular permite mantener la separación estricta de dominios (Inscripciones, Calificaciones, Titulación, Biblioteca y Pagos) con la simplicidad operativa necesaria para ser desplegado y mantenido sin sobrecargar los recursos técnicos ni presupuestarios de la institución.</w:t>
      </w:r>
    </w:p>
    <w:sectPr w:rsidR="00CF3E41" w:rsidRPr="00584D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035379">
    <w:abstractNumId w:val="8"/>
  </w:num>
  <w:num w:numId="2" w16cid:durableId="1917208472">
    <w:abstractNumId w:val="6"/>
  </w:num>
  <w:num w:numId="3" w16cid:durableId="5065003">
    <w:abstractNumId w:val="5"/>
  </w:num>
  <w:num w:numId="4" w16cid:durableId="1217351015">
    <w:abstractNumId w:val="4"/>
  </w:num>
  <w:num w:numId="5" w16cid:durableId="2002852568">
    <w:abstractNumId w:val="7"/>
  </w:num>
  <w:num w:numId="6" w16cid:durableId="1708335369">
    <w:abstractNumId w:val="3"/>
  </w:num>
  <w:num w:numId="7" w16cid:durableId="2115206517">
    <w:abstractNumId w:val="2"/>
  </w:num>
  <w:num w:numId="8" w16cid:durableId="852493933">
    <w:abstractNumId w:val="1"/>
  </w:num>
  <w:num w:numId="9" w16cid:durableId="197678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734"/>
    <w:rsid w:val="00584D45"/>
    <w:rsid w:val="00AA1D8D"/>
    <w:rsid w:val="00B47730"/>
    <w:rsid w:val="00CB0664"/>
    <w:rsid w:val="00CF3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BC0B4"/>
  <w14:defaultImageDpi w14:val="300"/>
  <w15:docId w15:val="{4257A504-7601-4A65-917A-EA1F28B7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valverde</cp:lastModifiedBy>
  <cp:revision>2</cp:revision>
  <dcterms:created xsi:type="dcterms:W3CDTF">2013-12-23T23:15:00Z</dcterms:created>
  <dcterms:modified xsi:type="dcterms:W3CDTF">2026-10-22T12:46:00Z</dcterms:modified>
  <cp:category/>
</cp:coreProperties>
</file>