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Georgia" w:cs="Georgia" w:eastAsia="Georgia" w:hAnsi="Georgia"/>
          <w:b/>
          <w:bCs/>
          <w:i w:val="false"/>
          <w:iCs w:val="false"/>
          <w:color w:val="0A1628"/>
          <w:sz w:val="36"/>
          <w:szCs w:val="36"/>
        </w:rPr>
        <w:t xml:space="preserve">Grand Line Reels</w:t>
      </w:r>
    </w:p>
    <w:p>
      <w:pPr>
        <w:spacing w:after="60" w:before="0"/>
        <w:jc w:val="left"/>
      </w:pPr>
      <w:r>
        <w:rPr>
          <w:rFonts w:ascii="Georgia" w:cs="Georgia" w:eastAsia="Georgia" w:hAnsi="Georgia"/>
          <w:b w:val="false"/>
          <w:bCs w:val="false"/>
          <w:i/>
          <w:iCs/>
          <w:color w:val="C9973A"/>
          <w:sz w:val="24"/>
          <w:szCs w:val="24"/>
        </w:rPr>
        <w:t xml:space="preserve">Process and Research — Deliverable 9</w:t>
      </w:r>
    </w:p>
    <w:p>
      <w:pPr>
        <w:spacing w:after="60" w:before="0"/>
        <w:jc w:val="left"/>
      </w:pPr>
      <w:r>
        <w:rPr>
          <w:rFonts w:ascii="Georgia" w:cs="Georgia" w:eastAsia="Georgia" w:hAnsi="Georgia"/>
          <w:b w:val="false"/>
          <w:bCs w:val="false"/>
          <w:i w:val="false"/>
          <w:iCs w:val="false"/>
          <w:color w:val="555555"/>
          <w:sz w:val="17"/>
          <w:szCs w:val="17"/>
        </w:rPr>
        <w:t xml:space="preserve">Nicholas Bryant  ·  AGS Game Innovation Fellow  ·  May 2026</w:t>
      </w:r>
    </w:p>
    <w:p>
      <w:pPr>
        <w:pBdr>
          <w:bottom w:val="single" w:color="C9973A" w:sz="6" w:space="4"/>
        </w:pBdr>
        <w:spacing w:after="240" w:before="0"/>
      </w:pPr>
      <w:r>
        <w:t xml:space="preserve"/>
      </w:r>
    </w:p>
    <w:p>
      <w:pPr>
        <w:pStyle w:val="Heading1"/>
        <w:pBdr>
          <w:bottom w:val="single" w:color="C9973A" w:sz="6" w:space="4"/>
        </w:pBdr>
        <w:spacing w:after="100" w:before="320"/>
      </w:pPr>
      <w:r>
        <w:rPr>
          <w:rFonts w:ascii="Arial" w:cs="Arial" w:eastAsia="Arial" w:hAnsi="Arial"/>
          <w:b/>
          <w:bCs/>
          <w:color w:val="0A1628"/>
          <w:sz w:val="26"/>
          <w:szCs w:val="26"/>
        </w:rPr>
        <w:t xml:space="preserve">Total Hours</w:t>
      </w:r>
    </w:p>
    <w:p>
      <w:pPr>
        <w:spacing w:after="120" w:before="80"/>
        <w:jc w:val="left"/>
      </w:pPr>
      <w:r>
        <w:rPr>
          <w:rFonts w:ascii="Georgia" w:cs="Georgia" w:eastAsia="Georgia" w:hAnsi="Georgia"/>
          <w:b w:val="false"/>
          <w:bCs w:val="false"/>
          <w:i w:val="false"/>
          <w:iCs w:val="false"/>
          <w:color w:val="111111"/>
          <w:sz w:val="20"/>
          <w:szCs w:val="20"/>
        </w:rPr>
        <w:t xml:space="preserve">Approximately 18 hours total across 7 days. The exercise was received on May 10th and the deadline is May 18th at 9AM ET. Work was distributed across morning and evening sessions rather than concentrated in single long days.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6660"/>
      </w:tblGrid>
      <w:tr>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Day</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Date</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Hours</w:t>
            </w:r>
          </w:p>
        </w:tc>
        <w:tc>
          <w:tcPr>
            <w:tcW w:type="dxa" w:w="66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Focus</w:t>
            </w:r>
          </w:p>
        </w:tc>
      </w:tr>
      <w:tr>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1</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May 10</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2.5 hrs</w:t>
            </w:r>
          </w:p>
        </w:tc>
        <w:tc>
          <w:tcPr>
            <w:tcW w:type="dxa" w:w="66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Read brief twice. Starter reflection. System design decisions: theme, volatility, symbols, bonus structure.</w:t>
            </w:r>
          </w:p>
        </w:tc>
      </w:tr>
      <w:tr>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2</w:t>
            </w:r>
          </w:p>
        </w:tc>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May 11</w:t>
            </w:r>
          </w:p>
        </w:tc>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4.0 hrs</w:t>
            </w:r>
          </w:p>
        </w:tc>
        <w:tc>
          <w:tcPr>
            <w:tcW w:type="dxa" w:w="66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Python environment setup. Math simulation: reel strip design, paytable calibration, RTP verification, 1000-spin simulation, charts. config.json export.</w:t>
            </w:r>
          </w:p>
        </w:tc>
      </w:tr>
      <w:tr>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3</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May 11</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2.0 hrs</w:t>
            </w:r>
          </w:p>
        </w:tc>
        <w:tc>
          <w:tcPr>
            <w:tcW w:type="dxa" w:w="66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Game Design Document. Prototype initial build. GitHub Pages setup.</w:t>
            </w:r>
          </w:p>
        </w:tc>
      </w:tr>
      <w:tr>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4</w:t>
            </w:r>
          </w:p>
        </w:tc>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May 12</w:t>
            </w:r>
          </w:p>
        </w:tc>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3.5 hrs</w:t>
            </w:r>
          </w:p>
        </w:tc>
        <w:tc>
          <w:tcPr>
            <w:tcW w:type="dxa" w:w="66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Prototype polish: ocean canvas, staggered reels, particles, bonus overlay. Denomination change to $1. Bet sizing. AI tool build and testing.</w:t>
            </w:r>
          </w:p>
        </w:tc>
      </w:tr>
      <w:tr>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5</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May 13</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3.0 hrs</w:t>
            </w:r>
          </w:p>
        </w:tc>
        <w:tc>
          <w:tcPr>
            <w:tcW w:type="dxa" w:w="66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Tiered win effects. Onboarding overlay. Playtesting sessions. Design Rationale document. Background Analogy document.</w:t>
            </w:r>
          </w:p>
        </w:tc>
      </w:tr>
      <w:tr>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6</w:t>
            </w:r>
          </w:p>
        </w:tc>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May 14</w:t>
            </w:r>
          </w:p>
        </w:tc>
        <w:tc>
          <w:tcPr>
            <w:tcW w:type="dxa" w:w="9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2.0 hrs</w:t>
            </w:r>
          </w:p>
        </w:tc>
        <w:tc>
          <w:tcPr>
            <w:tcW w:type="dxa" w:w="66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Emotion visualization. AI Usage Log. Process and Research document.</w:t>
            </w:r>
          </w:p>
        </w:tc>
      </w:tr>
      <w:tr>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7</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May 15-17</w:t>
            </w:r>
          </w:p>
        </w:tc>
        <w:tc>
          <w:tcPr>
            <w:tcW w:type="dxa" w:w="90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1.0 hr</w:t>
            </w:r>
          </w:p>
        </w:tc>
        <w:tc>
          <w:tcPr>
            <w:tcW w:type="dxa" w:w="6660"/>
            <w:tcBorders>
              <w:top w:val="single" w:color="CCCCCC" w:sz="1"/>
              <w:left w:val="single" w:color="CCCCCC" w:sz="1"/>
              <w:bottom w:val="single" w:color="CCCCCC" w:sz="1"/>
              <w:right w:val="single" w:color="CCCCCC" w:sz="1"/>
            </w:tcBorders>
            <w:shd w:fill="F2F2EF" w:val="clear"/>
            <w:tcMar>
              <w:top w:type="dxa" w:w="80"/>
              <w:left w:type="dxa" w:w="120"/>
              <w:bottom w:type="dxa" w:w="80"/>
              <w:right w:type="dxa" w:w="120"/>
            </w:tcMar>
          </w:tcPr>
          <w:p>
            <w:pPr>
              <w:spacing w:after="0" w:before="0"/>
            </w:pPr>
            <w:r>
              <w:rPr>
                <w:rFonts w:ascii="Georgia" w:cs="Georgia" w:eastAsia="Georgia" w:hAnsi="Georgia"/>
                <w:color w:val="222222"/>
                <w:sz w:val="18"/>
                <w:szCs w:val="18"/>
              </w:rPr>
              <w:t xml:space="preserve">Reflections. Video walkthrough. Final review and submission.</w:t>
            </w:r>
          </w:p>
        </w:tc>
      </w:tr>
    </w:tbl>
    <w:p>
      <w:pPr>
        <w:spacing w:after="80" w:before="0"/>
      </w:pPr>
      <w:r>
        <w:t xml:space="preserve"/>
      </w:r>
    </w:p>
    <w:p>
      <w:pPr>
        <w:pStyle w:val="Heading1"/>
        <w:pBdr>
          <w:bottom w:val="single" w:color="C9973A" w:sz="6" w:space="4"/>
        </w:pBdr>
        <w:spacing w:after="100" w:before="320"/>
      </w:pPr>
      <w:r>
        <w:rPr>
          <w:rFonts w:ascii="Arial" w:cs="Arial" w:eastAsia="Arial" w:hAnsi="Arial"/>
          <w:b/>
          <w:bCs/>
          <w:color w:val="0A1628"/>
          <w:sz w:val="26"/>
          <w:szCs w:val="26"/>
        </w:rPr>
        <w:t xml:space="preserve">What I Got Stuck On</w:t>
      </w:r>
    </w:p>
    <w:p>
      <w:pPr>
        <w:pStyle w:val="Heading2"/>
        <w:spacing w:after="80" w:before="200"/>
      </w:pPr>
      <w:r>
        <w:rPr>
          <w:rFonts w:ascii="Arial" w:cs="Arial" w:eastAsia="Arial" w:hAnsi="Arial"/>
          <w:b/>
          <w:bCs/>
          <w:color w:val="1A7A6E"/>
          <w:sz w:val="22"/>
          <w:szCs w:val="22"/>
        </w:rPr>
        <w:t xml:space="preserve">RTP Calibration</w:t>
      </w:r>
    </w:p>
    <w:p>
      <w:pPr>
        <w:spacing w:after="120" w:before="80"/>
        <w:jc w:val="left"/>
      </w:pPr>
      <w:r>
        <w:rPr>
          <w:rFonts w:ascii="Georgia" w:cs="Georgia" w:eastAsia="Georgia" w:hAnsi="Georgia"/>
          <w:b w:val="false"/>
          <w:bCs w:val="false"/>
          <w:i w:val="false"/>
          <w:iCs w:val="false"/>
          <w:color w:val="111111"/>
          <w:sz w:val="20"/>
          <w:szCs w:val="20"/>
        </w:rPr>
        <w:t xml:space="preserve">The paytable calibration took three iterations to converge on 90.14%. The first attempt at multipliers produced 111% RTP because I did not account for how heavily the two of a kind wins dominate at high frequencies. The second attempt overcompensated and landed at 67%. The solver approach in Cell 5 of the notebook, which calculates the exact Devil Fruit multiplier needed to close the remaining gap given all other multipliers fixed, was the correct approach. I should have used a solver from the start rather than iterating manually.</w:t>
      </w:r>
    </w:p>
    <w:p>
      <w:pPr>
        <w:spacing w:after="80" w:before="0"/>
      </w:pPr>
      <w:r>
        <w:t xml:space="preserve"/>
      </w:r>
    </w:p>
    <w:p>
      <w:pPr>
        <w:pStyle w:val="Heading2"/>
        <w:spacing w:after="80" w:before="200"/>
      </w:pPr>
      <w:r>
        <w:rPr>
          <w:rFonts w:ascii="Arial" w:cs="Arial" w:eastAsia="Arial" w:hAnsi="Arial"/>
          <w:b/>
          <w:bCs/>
          <w:color w:val="1A7A6E"/>
          <w:sz w:val="22"/>
          <w:szCs w:val="22"/>
        </w:rPr>
        <w:t xml:space="preserve">Word Document Compatibility</w:t>
      </w:r>
    </w:p>
    <w:p>
      <w:pPr>
        <w:spacing w:after="120" w:before="80"/>
        <w:jc w:val="left"/>
      </w:pPr>
      <w:r>
        <w:rPr>
          <w:rFonts w:ascii="Georgia" w:cs="Georgia" w:eastAsia="Georgia" w:hAnsi="Georgia"/>
          <w:b w:val="false"/>
          <w:bCs w:val="false"/>
          <w:i w:val="false"/>
          <w:iCs w:val="false"/>
          <w:color w:val="111111"/>
          <w:sz w:val="20"/>
          <w:szCs w:val="20"/>
        </w:rPr>
        <w:t xml:space="preserve">The first Word document exported correctly by our XML validator but failed to open in Microsoft Word. The error was a legacy page number element that modern Word rejects. Diagnosing this required examining the raw XML inside the .docx file. The fix was straightforward once identified but finding it took longer than it should have because I did not know to look there first.</w:t>
      </w:r>
    </w:p>
    <w:p>
      <w:pPr>
        <w:spacing w:after="80" w:before="0"/>
      </w:pPr>
      <w:r>
        <w:t xml:space="preserve"/>
      </w:r>
    </w:p>
    <w:p>
      <w:pPr>
        <w:pStyle w:val="Heading2"/>
        <w:spacing w:after="80" w:before="200"/>
      </w:pPr>
      <w:r>
        <w:rPr>
          <w:rFonts w:ascii="Arial" w:cs="Arial" w:eastAsia="Arial" w:hAnsi="Arial"/>
          <w:b/>
          <w:bCs/>
          <w:color w:val="1A7A6E"/>
          <w:sz w:val="22"/>
          <w:szCs w:val="22"/>
        </w:rPr>
        <w:t xml:space="preserve">Denomination Decision</w:t>
      </w:r>
    </w:p>
    <w:p>
      <w:pPr>
        <w:spacing w:after="120" w:before="80"/>
        <w:jc w:val="left"/>
      </w:pPr>
      <w:r>
        <w:rPr>
          <w:rFonts w:ascii="Georgia" w:cs="Georgia" w:eastAsia="Georgia" w:hAnsi="Georgia"/>
          <w:b w:val="false"/>
          <w:bCs w:val="false"/>
          <w:i w:val="false"/>
          <w:iCs w:val="false"/>
          <w:color w:val="111111"/>
          <w:sz w:val="20"/>
          <w:szCs w:val="20"/>
        </w:rPr>
        <w:t xml:space="preserve">I spent more time than expected on the denomination question. The initial $0.01 choice was mathematically defensible but emotionally wrong. The switch to $1.00 required updating the Python notebook, the config.json, the prototype JavaScript, and the GDD. The cascade of updates took about 45 minutes that I had not budgeted.</w:t>
      </w:r>
    </w:p>
    <w:p>
      <w:pPr>
        <w:pStyle w:val="Heading1"/>
        <w:pBdr>
          <w:bottom w:val="single" w:color="C9973A" w:sz="6" w:space="4"/>
        </w:pBdr>
        <w:spacing w:after="100" w:before="320"/>
      </w:pPr>
      <w:r>
        <w:rPr>
          <w:rFonts w:ascii="Arial" w:cs="Arial" w:eastAsia="Arial" w:hAnsi="Arial"/>
          <w:b/>
          <w:bCs/>
          <w:color w:val="0A1628"/>
          <w:sz w:val="26"/>
          <w:szCs w:val="26"/>
        </w:rPr>
        <w:t xml:space="preserve">Research Sources</w:t>
      </w:r>
    </w:p>
    <w:p>
      <w:pPr>
        <w:pStyle w:val="Heading2"/>
        <w:spacing w:after="80" w:before="200"/>
      </w:pPr>
      <w:r>
        <w:rPr>
          <w:rFonts w:ascii="Arial" w:cs="Arial" w:eastAsia="Arial" w:hAnsi="Arial"/>
          <w:b/>
          <w:bCs/>
          <w:color w:val="1A7A6E"/>
          <w:sz w:val="22"/>
          <w:szCs w:val="22"/>
        </w:rPr>
        <w:t xml:space="preserve">Slot Industry</w:t>
      </w:r>
    </w:p>
    <w:p>
      <w:pPr>
        <w:pStyle w:val="ListParagraph"/>
        <w:numPr>
          <w:ilvl w:val="0"/>
          <w:numId w:val="2"/>
        </w:numPr>
        <w:spacing w:after="40" w:before="40"/>
      </w:pPr>
      <w:r>
        <w:rPr>
          <w:rFonts w:ascii="Georgia" w:cs="Georgia" w:eastAsia="Georgia" w:hAnsi="Georgia"/>
          <w:color w:val="111111"/>
          <w:sz w:val="20"/>
          <w:szCs w:val="20"/>
        </w:rPr>
        <w:t xml:space="preserve">AGS candidate exercise brief, read twice before starting</w:t>
      </w:r>
    </w:p>
    <w:p>
      <w:pPr>
        <w:pStyle w:val="ListParagraph"/>
        <w:numPr>
          <w:ilvl w:val="0"/>
          <w:numId w:val="2"/>
        </w:numPr>
        <w:spacing w:after="40" w:before="40"/>
      </w:pPr>
      <w:r>
        <w:rPr>
          <w:rFonts w:ascii="Georgia" w:cs="Georgia" w:eastAsia="Georgia" w:hAnsi="Georgia"/>
          <w:color w:val="111111"/>
          <w:sz w:val="20"/>
          <w:szCs w:val="20"/>
        </w:rPr>
        <w:t xml:space="preserve">Vocabulary primer in the brief, researched each term independently to verify understanding</w:t>
      </w:r>
    </w:p>
    <w:p>
      <w:pPr>
        <w:pStyle w:val="ListParagraph"/>
        <w:numPr>
          <w:ilvl w:val="0"/>
          <w:numId w:val="2"/>
        </w:numPr>
        <w:spacing w:after="40" w:before="40"/>
      </w:pPr>
      <w:r>
        <w:rPr>
          <w:rFonts w:ascii="Georgia" w:cs="Georgia" w:eastAsia="Georgia" w:hAnsi="Georgia"/>
          <w:color w:val="111111"/>
          <w:sz w:val="20"/>
          <w:szCs w:val="20"/>
        </w:rPr>
        <w:t xml:space="preserve">Slot machine RTP and volatility: general casino industry resources and Wikipedia for orientation</w:t>
      </w:r>
    </w:p>
    <w:p>
      <w:pPr>
        <w:pStyle w:val="ListParagraph"/>
        <w:numPr>
          <w:ilvl w:val="0"/>
          <w:numId w:val="2"/>
        </w:numPr>
        <w:spacing w:after="40" w:before="40"/>
      </w:pPr>
      <w:r>
        <w:rPr>
          <w:rFonts w:ascii="Georgia" w:cs="Georgia" w:eastAsia="Georgia" w:hAnsi="Georgia"/>
          <w:color w:val="111111"/>
          <w:sz w:val="20"/>
          <w:szCs w:val="20"/>
        </w:rPr>
        <w:t xml:space="preserve">Hit frequency and session arc design: derived from first principles using the math model rather than external sources</w:t>
      </w:r>
    </w:p>
    <w:p>
      <w:pPr>
        <w:spacing w:after="80" w:before="0"/>
      </w:pPr>
      <w:r>
        <w:t xml:space="preserve"/>
      </w:r>
    </w:p>
    <w:p>
      <w:pPr>
        <w:pStyle w:val="Heading2"/>
        <w:spacing w:after="80" w:before="200"/>
      </w:pPr>
      <w:r>
        <w:rPr>
          <w:rFonts w:ascii="Arial" w:cs="Arial" w:eastAsia="Arial" w:hAnsi="Arial"/>
          <w:b/>
          <w:bCs/>
          <w:color w:val="1A7A6E"/>
          <w:sz w:val="22"/>
          <w:szCs w:val="22"/>
        </w:rPr>
        <w:t xml:space="preserve">Psychology and Behavioral Economics</w:t>
      </w:r>
    </w:p>
    <w:p>
      <w:pPr>
        <w:pStyle w:val="ListParagraph"/>
        <w:numPr>
          <w:ilvl w:val="0"/>
          <w:numId w:val="2"/>
        </w:numPr>
        <w:spacing w:after="40" w:before="40"/>
      </w:pPr>
      <w:r>
        <w:rPr>
          <w:rFonts w:ascii="Georgia" w:cs="Georgia" w:eastAsia="Georgia" w:hAnsi="Georgia"/>
          <w:color w:val="111111"/>
          <w:sz w:val="20"/>
          <w:szCs w:val="20"/>
        </w:rPr>
        <w:t xml:space="preserve">Variable ratio reinforcement: Skinner's original formulation, applied to slot design context</w:t>
      </w:r>
    </w:p>
    <w:p>
      <w:pPr>
        <w:pStyle w:val="ListParagraph"/>
        <w:numPr>
          <w:ilvl w:val="0"/>
          <w:numId w:val="2"/>
        </w:numPr>
        <w:spacing w:after="40" w:before="40"/>
      </w:pPr>
      <w:r>
        <w:rPr>
          <w:rFonts w:ascii="Georgia" w:cs="Georgia" w:eastAsia="Georgia" w:hAnsi="Georgia"/>
          <w:color w:val="111111"/>
          <w:sz w:val="20"/>
          <w:szCs w:val="20"/>
        </w:rPr>
        <w:t xml:space="preserve">Loss aversion and reference point formation: Kahneman and Tversky prospect theory, applied to the $185 peak story</w:t>
      </w:r>
    </w:p>
    <w:p>
      <w:pPr>
        <w:pStyle w:val="ListParagraph"/>
        <w:numPr>
          <w:ilvl w:val="0"/>
          <w:numId w:val="2"/>
        </w:numPr>
        <w:spacing w:after="40" w:before="40"/>
      </w:pPr>
      <w:r>
        <w:rPr>
          <w:rFonts w:ascii="Georgia" w:cs="Georgia" w:eastAsia="Georgia" w:hAnsi="Georgia"/>
          <w:color w:val="111111"/>
          <w:sz w:val="20"/>
          <w:szCs w:val="20"/>
        </w:rPr>
        <w:t xml:space="preserve">Anticipatory dopamine: Wolfram Schultz research on prediction error and dopamine response</w:t>
      </w:r>
    </w:p>
    <w:p>
      <w:pPr>
        <w:pStyle w:val="ListParagraph"/>
        <w:numPr>
          <w:ilvl w:val="0"/>
          <w:numId w:val="2"/>
        </w:numPr>
        <w:spacing w:after="40" w:before="40"/>
      </w:pPr>
      <w:r>
        <w:rPr>
          <w:rFonts w:ascii="Georgia" w:cs="Georgia" w:eastAsia="Georgia" w:hAnsi="Georgia"/>
          <w:color w:val="111111"/>
          <w:sz w:val="20"/>
          <w:szCs w:val="20"/>
        </w:rPr>
        <w:t xml:space="preserve">Attention budget and new player calibration: inferred from the design rationale exercise prompt examples</w:t>
      </w:r>
    </w:p>
    <w:p>
      <w:pPr>
        <w:pStyle w:val="ListParagraph"/>
        <w:numPr>
          <w:ilvl w:val="0"/>
          <w:numId w:val="2"/>
        </w:numPr>
        <w:spacing w:after="40" w:before="40"/>
      </w:pPr>
      <w:r>
        <w:rPr>
          <w:rFonts w:ascii="Georgia" w:cs="Georgia" w:eastAsia="Georgia" w:hAnsi="Georgia"/>
          <w:color w:val="111111"/>
          <w:sz w:val="20"/>
          <w:szCs w:val="20"/>
        </w:rPr>
        <w:t xml:space="preserve">Illusion of control in gambling: general behavioral economics literature</w:t>
      </w:r>
    </w:p>
    <w:p>
      <w:pPr>
        <w:spacing w:after="80" w:before="0"/>
      </w:pPr>
      <w:r>
        <w:t xml:space="preserve"/>
      </w:r>
    </w:p>
    <w:p>
      <w:pPr>
        <w:pStyle w:val="Heading2"/>
        <w:spacing w:after="80" w:before="200"/>
      </w:pPr>
      <w:r>
        <w:rPr>
          <w:rFonts w:ascii="Arial" w:cs="Arial" w:eastAsia="Arial" w:hAnsi="Arial"/>
          <w:b/>
          <w:bCs/>
          <w:color w:val="1A7A6E"/>
          <w:sz w:val="22"/>
          <w:szCs w:val="22"/>
        </w:rPr>
        <w:t xml:space="preserve">Games Played</w:t>
      </w:r>
    </w:p>
    <w:p>
      <w:pPr>
        <w:pStyle w:val="ListParagraph"/>
        <w:numPr>
          <w:ilvl w:val="0"/>
          <w:numId w:val="2"/>
        </w:numPr>
        <w:spacing w:after="40" w:before="40"/>
      </w:pPr>
      <w:r>
        <w:rPr>
          <w:rFonts w:ascii="Georgia" w:cs="Georgia" w:eastAsia="Georgia" w:hAnsi="Georgia"/>
          <w:color w:val="111111"/>
          <w:sz w:val="20"/>
          <w:szCs w:val="20"/>
        </w:rPr>
        <w:t xml:space="preserve">Grand Line Reels: approximately 2500 spins across multiple sessions over 5 days of playtesting</w:t>
      </w:r>
    </w:p>
    <w:p>
      <w:pPr>
        <w:pStyle w:val="ListParagraph"/>
        <w:numPr>
          <w:ilvl w:val="0"/>
          <w:numId w:val="2"/>
        </w:numPr>
        <w:spacing w:after="40" w:before="40"/>
      </w:pPr>
      <w:r>
        <w:rPr>
          <w:rFonts w:ascii="Georgia" w:cs="Georgia" w:eastAsia="Georgia" w:hAnsi="Georgia"/>
          <w:color w:val="111111"/>
          <w:sz w:val="20"/>
          <w:szCs w:val="20"/>
        </w:rPr>
        <w:t xml:space="preserve">Observed several real slot machines in passing to compare visual feedback approaches</w:t>
      </w:r>
    </w:p>
    <w:p>
      <w:pPr>
        <w:pStyle w:val="Heading1"/>
        <w:pBdr>
          <w:bottom w:val="single" w:color="C9973A" w:sz="6" w:space="4"/>
        </w:pBdr>
        <w:spacing w:after="100" w:before="320"/>
      </w:pPr>
      <w:r>
        <w:rPr>
          <w:rFonts w:ascii="Arial" w:cs="Arial" w:eastAsia="Arial" w:hAnsi="Arial"/>
          <w:b/>
          <w:bCs/>
          <w:color w:val="0A1628"/>
          <w:sz w:val="26"/>
          <w:szCs w:val="26"/>
        </w:rPr>
        <w:t xml:space="preserve">Playtesting Notes</w:t>
      </w:r>
    </w:p>
    <w:p>
      <w:pPr>
        <w:pStyle w:val="Heading2"/>
        <w:spacing w:after="80" w:before="200"/>
      </w:pPr>
      <w:r>
        <w:rPr>
          <w:rFonts w:ascii="Arial" w:cs="Arial" w:eastAsia="Arial" w:hAnsi="Arial"/>
          <w:b/>
          <w:bCs/>
          <w:color w:val="1A7A6E"/>
          <w:sz w:val="22"/>
          <w:szCs w:val="22"/>
        </w:rPr>
        <w:t xml:space="preserve">Session 1: $0.01 Denomination, 500 Spins</w:t>
      </w:r>
    </w:p>
    <w:p>
      <w:pPr>
        <w:spacing w:after="120" w:before="80"/>
        <w:jc w:val="left"/>
      </w:pPr>
      <w:r>
        <w:rPr>
          <w:rFonts w:ascii="Georgia" w:cs="Georgia" w:eastAsia="Georgia" w:hAnsi="Georgia"/>
          <w:b w:val="false"/>
          <w:bCs w:val="false"/>
          <w:i w:val="false"/>
          <w:iCs w:val="false"/>
          <w:color w:val="111111"/>
          <w:sz w:val="20"/>
          <w:szCs w:val="20"/>
        </w:rPr>
        <w:t xml:space="preserve">First playtesting session after prototype was live. Realized RTP 164.27% due to lucky variance. Confirmed hit frequency was working correctly at roughly 13%. Identified the core problem: wins felt meaningless in absolute dollar terms. $0.45 for a Devil Fruit hit does not register as significant regardless of the 45x multiplier.</w:t>
      </w:r>
    </w:p>
    <w:p>
      <w:pPr>
        <w:spacing w:after="80" w:before="0"/>
      </w:pPr>
      <w:r>
        <w:t xml:space="preserve"/>
      </w:r>
    </w:p>
    <w:p>
      <w:pPr>
        <w:pStyle w:val="Heading2"/>
        <w:spacing w:after="80" w:before="200"/>
      </w:pPr>
      <w:r>
        <w:rPr>
          <w:rFonts w:ascii="Arial" w:cs="Arial" w:eastAsia="Arial" w:hAnsi="Arial"/>
          <w:b/>
          <w:bCs/>
          <w:color w:val="1A7A6E"/>
          <w:sz w:val="22"/>
          <w:szCs w:val="22"/>
        </w:rPr>
        <w:t xml:space="preserve">Session 2: External Playtester (Mother)</w:t>
      </w:r>
    </w:p>
    <w:p>
      <w:pPr>
        <w:spacing w:after="120" w:before="80"/>
        <w:jc w:val="left"/>
      </w:pPr>
      <w:r>
        <w:rPr>
          <w:rFonts w:ascii="Georgia" w:cs="Georgia" w:eastAsia="Georgia" w:hAnsi="Georgia"/>
          <w:b w:val="false"/>
          <w:bCs w:val="false"/>
          <w:i w:val="false"/>
          <w:iCs w:val="false"/>
          <w:color w:val="111111"/>
          <w:sz w:val="20"/>
          <w:szCs w:val="20"/>
        </w:rPr>
        <w:t xml:space="preserve">Asked my mother to play without instruction and report what she felt. She found the game aesthetically appealing and understood the symbols immediately. Her key feedback: she would feel more compelled to play if more money was involved. This was the direct input that drove the denomination change. She did not say the game was boring. She said the stakes did not feel real.</w:t>
      </w:r>
    </w:p>
    <w:p>
      <w:pPr>
        <w:spacing w:after="80" w:before="0"/>
      </w:pPr>
      <w:r>
        <w:t xml:space="preserve"/>
      </w:r>
    </w:p>
    <w:p>
      <w:pPr>
        <w:pStyle w:val="Heading2"/>
        <w:spacing w:after="80" w:before="200"/>
      </w:pPr>
      <w:r>
        <w:rPr>
          <w:rFonts w:ascii="Arial" w:cs="Arial" w:eastAsia="Arial" w:hAnsi="Arial"/>
          <w:b/>
          <w:bCs/>
          <w:color w:val="1A7A6E"/>
          <w:sz w:val="22"/>
          <w:szCs w:val="22"/>
        </w:rPr>
        <w:t xml:space="preserve">Session 3: $1.00 Denomination, 493 Spins</w:t>
      </w:r>
    </w:p>
    <w:p>
      <w:pPr>
        <w:spacing w:after="120" w:before="80"/>
        <w:jc w:val="left"/>
      </w:pPr>
      <w:r>
        <w:rPr>
          <w:rFonts w:ascii="Georgia" w:cs="Georgia" w:eastAsia="Georgia" w:hAnsi="Georgia"/>
          <w:b w:val="false"/>
          <w:bCs w:val="false"/>
          <w:i w:val="false"/>
          <w:iCs w:val="false"/>
          <w:color w:val="111111"/>
          <w:sz w:val="20"/>
          <w:szCs w:val="20"/>
        </w:rPr>
        <w:t xml:space="preserve">Cold variance session. Peaked at $185 then drained to zero over 300 spins. Wanted x3 hit zero times against an expected 5.8. Meat x2 hit at roughly half the expected rate. Longest dry spell 48 spins. This session produced the most important playtesting insight: the peak created a reference point that made all subsequent play feel like a loss even while the balance was still above starting. Loss aversion was activating against a number that did not exist in the math model.</w:t>
      </w:r>
    </w:p>
    <w:p>
      <w:pPr>
        <w:spacing w:after="80" w:before="0"/>
      </w:pPr>
      <w:r>
        <w:t xml:space="preserve"/>
      </w:r>
    </w:p>
    <w:p>
      <w:pPr>
        <w:pStyle w:val="Heading2"/>
        <w:spacing w:after="80" w:before="200"/>
      </w:pPr>
      <w:r>
        <w:rPr>
          <w:rFonts w:ascii="Arial" w:cs="Arial" w:eastAsia="Arial" w:hAnsi="Arial"/>
          <w:b/>
          <w:bCs/>
          <w:color w:val="1A7A6E"/>
          <w:sz w:val="22"/>
          <w:szCs w:val="22"/>
        </w:rPr>
        <w:t xml:space="preserve">Session 4: $1.00 Denomination, 10 Spins</w:t>
      </w:r>
    </w:p>
    <w:p>
      <w:pPr>
        <w:spacing w:after="120" w:before="80"/>
        <w:jc w:val="left"/>
      </w:pPr>
      <w:r>
        <w:rPr>
          <w:rFonts w:ascii="Georgia" w:cs="Georgia" w:eastAsia="Georgia" w:hAnsi="Georgia"/>
          <w:b w:val="false"/>
          <w:bCs w:val="false"/>
          <w:i w:val="false"/>
          <w:iCs w:val="false"/>
          <w:color w:val="111111"/>
          <w:sz w:val="20"/>
          <w:szCs w:val="20"/>
        </w:rPr>
        <w:t xml:space="preserve">Hot variance session. Hit Three Chests at $5 bet on spin 10 for a $200 win. Balance went from $100 to $335 in 10 spins. Confirmed that tier 3 win feedback at $1 denomination produces a genuinely significant emotional event. The screen shake, particle burst, and BIG WIN banner at $200 felt proportionate in a way that the same effects at $0.40 did not.</w:t>
      </w:r>
    </w:p>
    <w:p>
      <w:pPr>
        <w:spacing w:after="80" w:before="0"/>
      </w:pPr>
      <w:r>
        <w:t xml:space="preserve"/>
      </w:r>
    </w:p>
    <w:p>
      <w:pPr>
        <w:pStyle w:val="Heading2"/>
        <w:spacing w:after="80" w:before="200"/>
      </w:pPr>
      <w:r>
        <w:rPr>
          <w:rFonts w:ascii="Arial" w:cs="Arial" w:eastAsia="Arial" w:hAnsi="Arial"/>
          <w:b/>
          <w:bCs/>
          <w:color w:val="1A7A6E"/>
          <w:sz w:val="22"/>
          <w:szCs w:val="22"/>
        </w:rPr>
        <w:t xml:space="preserve">Changes Made Based on Playtesting</w:t>
      </w:r>
    </w:p>
    <w:p>
      <w:pPr>
        <w:pStyle w:val="ListParagraph"/>
        <w:numPr>
          <w:ilvl w:val="0"/>
          <w:numId w:val="2"/>
        </w:numPr>
        <w:spacing w:after="40" w:before="40"/>
      </w:pPr>
      <w:r>
        <w:rPr>
          <w:rFonts w:ascii="Georgia" w:cs="Georgia" w:eastAsia="Georgia" w:hAnsi="Georgia"/>
          <w:color w:val="111111"/>
          <w:sz w:val="20"/>
          <w:szCs w:val="20"/>
        </w:rPr>
        <w:t xml:space="preserve">Changed denomination from $0.01 to $1.00 based on mother's feedback and personal session experience</w:t>
      </w:r>
    </w:p>
    <w:p>
      <w:pPr>
        <w:pStyle w:val="ListParagraph"/>
        <w:numPr>
          <w:ilvl w:val="0"/>
          <w:numId w:val="2"/>
        </w:numPr>
        <w:spacing w:after="40" w:before="40"/>
      </w:pPr>
      <w:r>
        <w:rPr>
          <w:rFonts w:ascii="Georgia" w:cs="Georgia" w:eastAsia="Georgia" w:hAnsi="Georgia"/>
          <w:color w:val="111111"/>
          <w:sz w:val="20"/>
          <w:szCs w:val="20"/>
        </w:rPr>
        <w:t xml:space="preserve">Added three bet sizes ($1, $3, $5) after observing natural risk calibration behavior during cold session</w:t>
      </w:r>
    </w:p>
    <w:p>
      <w:pPr>
        <w:pStyle w:val="ListParagraph"/>
        <w:numPr>
          <w:ilvl w:val="0"/>
          <w:numId w:val="2"/>
        </w:numPr>
        <w:spacing w:after="40" w:before="40"/>
      </w:pPr>
      <w:r>
        <w:rPr>
          <w:rFonts w:ascii="Georgia" w:cs="Georgia" w:eastAsia="Georgia" w:hAnsi="Georgia"/>
          <w:color w:val="111111"/>
          <w:sz w:val="20"/>
          <w:szCs w:val="20"/>
        </w:rPr>
        <w:t xml:space="preserve">Increased starting bankroll from $5 to $100 to match the new denomination</w:t>
      </w:r>
    </w:p>
    <w:p>
      <w:pPr>
        <w:pStyle w:val="ListParagraph"/>
        <w:numPr>
          <w:ilvl w:val="0"/>
          <w:numId w:val="2"/>
        </w:numPr>
        <w:spacing w:after="40" w:before="40"/>
      </w:pPr>
      <w:r>
        <w:rPr>
          <w:rFonts w:ascii="Georgia" w:cs="Georgia" w:eastAsia="Georgia" w:hAnsi="Georgia"/>
          <w:color w:val="111111"/>
          <w:sz w:val="20"/>
          <w:szCs w:val="20"/>
        </w:rPr>
        <w:t xml:space="preserve">Added floating gain/loss delta numbers from the balance display to make each spin's impact visible</w:t>
      </w:r>
    </w:p>
    <w:p>
      <w:pPr>
        <w:pStyle w:val="ListParagraph"/>
        <w:numPr>
          <w:ilvl w:val="0"/>
          <w:numId w:val="2"/>
        </w:numPr>
        <w:spacing w:after="40" w:before="40"/>
      </w:pPr>
      <w:r>
        <w:rPr>
          <w:rFonts w:ascii="Georgia" w:cs="Georgia" w:eastAsia="Georgia" w:hAnsi="Georgia"/>
          <w:color w:val="111111"/>
          <w:sz w:val="20"/>
          <w:szCs w:val="20"/>
        </w:rPr>
        <w:t xml:space="preserve">Added probability odds viewer after realizing the cold session deltas would be informative rather than discouraging</w:t>
      </w:r>
    </w:p>
    <w:p>
      <w:pPr>
        <w:pStyle w:val="ListParagraph"/>
        <w:numPr>
          <w:ilvl w:val="0"/>
          <w:numId w:val="2"/>
        </w:numPr>
        <w:spacing w:after="40" w:before="40"/>
      </w:pPr>
      <w:r>
        <w:rPr>
          <w:rFonts w:ascii="Georgia" w:cs="Georgia" w:eastAsia="Georgia" w:hAnsi="Georgia"/>
          <w:color w:val="111111"/>
          <w:sz w:val="20"/>
          <w:szCs w:val="20"/>
        </w:rPr>
        <w:t xml:space="preserve">Changed onboarding from always-on to skippable after the first test where I wanted to skip it immediately</w:t>
      </w:r>
    </w:p>
    <w:p>
      <w:pPr>
        <w:pStyle w:val="Heading1"/>
        <w:pBdr>
          <w:bottom w:val="single" w:color="C9973A" w:sz="6" w:space="4"/>
        </w:pBdr>
        <w:spacing w:after="100" w:before="320"/>
      </w:pPr>
      <w:r>
        <w:rPr>
          <w:rFonts w:ascii="Arial" w:cs="Arial" w:eastAsia="Arial" w:hAnsi="Arial"/>
          <w:b/>
          <w:bCs/>
          <w:color w:val="0A1628"/>
          <w:sz w:val="26"/>
          <w:szCs w:val="26"/>
        </w:rPr>
        <w:t xml:space="preserve">What I Learned That Changed My Approach</w:t>
      </w:r>
    </w:p>
    <w:p>
      <w:pPr>
        <w:spacing w:after="120" w:before="80"/>
        <w:jc w:val="left"/>
      </w:pPr>
      <w:r>
        <w:rPr>
          <w:rFonts w:ascii="Georgia" w:cs="Georgia" w:eastAsia="Georgia" w:hAnsi="Georgia"/>
          <w:b w:val="false"/>
          <w:bCs w:val="false"/>
          <w:i w:val="false"/>
          <w:iCs w:val="false"/>
          <w:color w:val="111111"/>
          <w:sz w:val="20"/>
          <w:szCs w:val="20"/>
        </w:rPr>
        <w:t xml:space="preserve">The most significant mid-flight change was understanding that the math and the emotional experience are separate design problems that interact but do not determine each other. I started the exercise treating them as the same problem. The Python simulation convinced me the math was correct. The playtesting revealed that correct math does not guarantee a compelling experience.</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second significant change was the realization that player agency over bet sizing creates a qualitatively different session than a fixed bet. I added the three bet sizes as a feature but the behavior that emerged, players naturally adjusting risk based on balance trajectory and reference points, was a genuine design discovery rather than an intended outcome.</w:t>
      </w:r>
    </w:p>
    <w:p>
      <w:pPr>
        <w:pStyle w:val="Heading1"/>
        <w:pBdr>
          <w:bottom w:val="single" w:color="C9973A" w:sz="6" w:space="4"/>
        </w:pBdr>
        <w:spacing w:after="100" w:before="320"/>
      </w:pPr>
      <w:r>
        <w:rPr>
          <w:rFonts w:ascii="Arial" w:cs="Arial" w:eastAsia="Arial" w:hAnsi="Arial"/>
          <w:b/>
          <w:bCs/>
          <w:color w:val="0A1628"/>
          <w:sz w:val="26"/>
          <w:szCs w:val="26"/>
        </w:rPr>
        <w:t xml:space="preserve">What I Would Do Differently</w:t>
      </w:r>
    </w:p>
    <w:p>
      <w:pPr>
        <w:pStyle w:val="ListParagraph"/>
        <w:numPr>
          <w:ilvl w:val="0"/>
          <w:numId w:val="2"/>
        </w:numPr>
        <w:spacing w:after="40" w:before="40"/>
      </w:pPr>
      <w:r>
        <w:rPr>
          <w:rFonts w:ascii="Georgia" w:cs="Georgia" w:eastAsia="Georgia" w:hAnsi="Georgia"/>
          <w:color w:val="111111"/>
          <w:sz w:val="20"/>
          <w:szCs w:val="20"/>
        </w:rPr>
        <w:t xml:space="preserve">Start with a denomination that produces psychologically meaningful dollar amounts. The $0.01 to $1.00 switch cost time and created cascading updates that could have been avoided.</w:t>
      </w:r>
    </w:p>
    <w:p>
      <w:pPr>
        <w:pStyle w:val="ListParagraph"/>
        <w:numPr>
          <w:ilvl w:val="0"/>
          <w:numId w:val="2"/>
        </w:numPr>
        <w:spacing w:after="40" w:before="40"/>
      </w:pPr>
      <w:r>
        <w:rPr>
          <w:rFonts w:ascii="Georgia" w:cs="Georgia" w:eastAsia="Georgia" w:hAnsi="Georgia"/>
          <w:color w:val="111111"/>
          <w:sz w:val="20"/>
          <w:szCs w:val="20"/>
        </w:rPr>
        <w:t xml:space="preserve">Build the player state model before the probability model. Define the emotional arc first as a sequence of target states, then design the math to produce those transitions reliably.</w:t>
      </w:r>
    </w:p>
    <w:p>
      <w:pPr>
        <w:pStyle w:val="ListParagraph"/>
        <w:numPr>
          <w:ilvl w:val="0"/>
          <w:numId w:val="2"/>
        </w:numPr>
        <w:spacing w:after="40" w:before="40"/>
      </w:pPr>
      <w:r>
        <w:rPr>
          <w:rFonts w:ascii="Georgia" w:cs="Georgia" w:eastAsia="Georgia" w:hAnsi="Georgia"/>
          <w:color w:val="111111"/>
          <w:sz w:val="20"/>
          <w:szCs w:val="20"/>
        </w:rPr>
        <w:t xml:space="preserve">Playtest with at least three external testers rather than one. My mother's feedback was decisive but a single data point. Different players would have revealed different gaps.</w:t>
      </w:r>
    </w:p>
    <w:p>
      <w:pPr>
        <w:pStyle w:val="ListParagraph"/>
        <w:numPr>
          <w:ilvl w:val="0"/>
          <w:numId w:val="2"/>
        </w:numPr>
        <w:spacing w:after="40" w:before="40"/>
      </w:pPr>
      <w:r>
        <w:rPr>
          <w:rFonts w:ascii="Georgia" w:cs="Georgia" w:eastAsia="Georgia" w:hAnsi="Georgia"/>
          <w:color w:val="111111"/>
          <w:sz w:val="20"/>
          <w:szCs w:val="20"/>
        </w:rPr>
        <w:t xml:space="preserve">Use a solver for paytable calibration from the start rather than iterating multipliers manually. The solver approach converged in one step. The manual approach took three iterations.</w:t>
      </w:r>
    </w:p>
    <w:p>
      <w:pPr>
        <w:pStyle w:val="ListParagraph"/>
        <w:numPr>
          <w:ilvl w:val="0"/>
          <w:numId w:val="2"/>
        </w:numPr>
        <w:spacing w:after="40" w:before="40"/>
      </w:pPr>
      <w:r>
        <w:rPr>
          <w:rFonts w:ascii="Georgia" w:cs="Georgia" w:eastAsia="Georgia" w:hAnsi="Georgia"/>
          <w:color w:val="111111"/>
          <w:sz w:val="20"/>
          <w:szCs w:val="20"/>
        </w:rPr>
        <w:t xml:space="preserve">Build the emotion visualization before the design rationale. The visualization process forced me to identify which math events drove the largest emotional shifts, which would have made the rationale entries stronger.</w:t>
      </w:r>
    </w:p>
    <w:p>
      <w:pPr>
        <w:pStyle w:val="Heading1"/>
        <w:pBdr>
          <w:bottom w:val="single" w:color="C9973A" w:sz="6" w:space="4"/>
        </w:pBdr>
        <w:spacing w:after="100" w:before="320"/>
      </w:pPr>
      <w:r>
        <w:rPr>
          <w:rFonts w:ascii="Arial" w:cs="Arial" w:eastAsia="Arial" w:hAnsi="Arial"/>
          <w:b/>
          <w:bCs/>
          <w:color w:val="0A1628"/>
          <w:sz w:val="26"/>
          <w:szCs w:val="26"/>
        </w:rPr>
        <w:t xml:space="preserve">Self-Critique of Final Output</w:t>
      </w:r>
    </w:p>
    <w:p>
      <w:pPr>
        <w:spacing w:after="120" w:before="80"/>
        <w:jc w:val="left"/>
      </w:pPr>
      <w:r>
        <w:rPr>
          <w:rFonts w:ascii="Georgia" w:cs="Georgia" w:eastAsia="Georgia" w:hAnsi="Georgia"/>
          <w:b w:val="false"/>
          <w:bCs w:val="false"/>
          <w:i w:val="false"/>
          <w:iCs w:val="false"/>
          <w:color w:val="111111"/>
          <w:sz w:val="20"/>
          <w:szCs w:val="20"/>
        </w:rPr>
        <w:t xml:space="preserve">The math is correct and fully verified. The prototype works and demonstrates the core design. The AI tool produces genuine output that connects math events to emotional narrative. The written deliverables are specific and defended rather than generic.</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The honest weaknesses are three. First, the top end of the paytable is conservative. At $1 denomination a 45x top symbol pays $45, which is meaningful but not aspirational. Real casino slots at this denomination typically offer 500x to 1000x top symbols. The design is correct for a three reel single payline game but that constraint itself limits the emotional ceiling.</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Second, the prototype has no sound. Real slot machines use sound as a primary psychological tool. The visual feedback system is strong but it is incomplete without audio. A production version would require a full sound design pass.</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Third, the emotion visualization uses reconstructed playtesting data rather than live session recording. A stronger version would capture session data in real time and generate the visualization automatically at session end. The current implementation is honest about this in the companion text but it is still a limitation.</w:t>
      </w:r>
    </w:p>
    <w:p>
      <w:pPr>
        <w:spacing w:after="80" w:before="0"/>
      </w:pPr>
      <w:r>
        <w:t xml:space="preserve"/>
      </w:r>
    </w:p>
    <w:p>
      <w:pPr>
        <w:spacing w:after="120" w:before="80"/>
        <w:jc w:val="left"/>
      </w:pPr>
      <w:r>
        <w:rPr>
          <w:rFonts w:ascii="Georgia" w:cs="Georgia" w:eastAsia="Georgia" w:hAnsi="Georgia"/>
          <w:b w:val="false"/>
          <w:bCs w:val="false"/>
          <w:i w:val="false"/>
          <w:iCs w:val="false"/>
          <w:color w:val="111111"/>
          <w:sz w:val="20"/>
          <w:szCs w:val="20"/>
        </w:rPr>
        <w:t xml:space="preserve">Despite these gaps I believe the submission demonstrates genuine engagement with all seven evaluation dimensions. The math is sound, the emotional arc is real, the engineering background produced a specific and concrete analogy, the design choices are decisive and defended, the process is visible, the AI use is extensive and critically engaged, and the reflections are honest about what worked and what did not.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00"/>
    </w:pPr>
    <w:r>
      <w:rPr>
        <w:rFonts w:ascii="Arial" w:cs="Arial" w:eastAsia="Arial" w:hAnsi="Arial"/>
        <w:color w:val="555555"/>
        <w:sz w:val="16"/>
        <w:szCs w:val="16"/>
      </w:rPr>
      <w:t xml:space="preserve">Nicholas Bryant  |  AGS Game Innovation Fellow  |  May 2026</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before="0"/>
      <w:jc w:val="right"/>
    </w:pPr>
    <w:r>
      <w:rPr>
        <w:rFonts w:ascii="Arial" w:cs="Arial" w:eastAsia="Arial" w:hAnsi="Arial"/>
        <w:color w:val="555555"/>
        <w:sz w:val="16"/>
        <w:szCs w:val="16"/>
      </w:rPr>
      <w:t xml:space="preserve">Grand Line Reels  |  Process and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1628"/>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2026-05-17T05:34:17.425Z</dcterms:created>
  <dcterms:modified xsi:type="dcterms:W3CDTF">2026-05-17T05:34:17.425Z</dcterms:modified>
</cp:coreProperties>
</file>

<file path=docProps/custom.xml><?xml version="1.0" encoding="utf-8"?>
<Properties xmlns="http://schemas.openxmlformats.org/officeDocument/2006/custom-properties" xmlns:vt="http://schemas.openxmlformats.org/officeDocument/2006/docPropsVTypes"/>
</file>