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РК2 Незаметдинов Тимур РТ5-31Б</w:t>
        <w:br w:type="textWrapping"/>
        <w:br w:type="textWrapping"/>
        <w:t xml:space="preserve">Полученное задание: </w:t>
      </w:r>
      <w:r w:rsidDel="00000000" w:rsidR="00000000" w:rsidRPr="00000000">
        <w:rPr>
          <w:rtl w:val="0"/>
        </w:rPr>
        <w:t xml:space="preserve">Поясните объявление делегата: Func&lt;int, int, int, int&gt;; Приведите примеры лямбда-выражений, которые соответствует делегату.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Обобщенный делегат Func&lt;int, int, int, int&gt; с 3 входными параметрами типа int, int, int и возвращающий значение типа int, соответствует объявлению обычного делегата delegate int Example(int x1, int x2, int x3);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Пример лямбда выражения, соответствующего делегату: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2333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471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Результат выполнения в консоли: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129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Пример лямбда-выражения №2: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78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Результат выполнения в консоли: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