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rFonts w:ascii="Times New Roman" w:hAnsi="Times New Roman" w:eastAsia="Times New Roman"/>
          <w:b/>
          <w:i w:val="0"/>
          <w:color w:val="1F3B73"/>
          <w:sz w:val="32"/>
        </w:rPr>
        <w:t>TÀI LIỆU THAM KHẢO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Các tài liệu dưới đây là nguồn tham khảo chính được nhóm sử dụng trong quá trình nghiên cứu, thiết kế và hiện thực hóa hệ thống.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Oracle, </w:t>
      </w:r>
      <w:r>
        <w:rPr>
          <w:rFonts w:ascii="Times New Roman" w:hAnsi="Times New Roman" w:eastAsia="Times New Roman"/>
          <w:b w:val="0"/>
          <w:i/>
          <w:sz w:val="26"/>
        </w:rPr>
        <w:t>Java Platform, Standard Edition 17 — API Specification &amp; Language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Oracle Corporation, 2021. [Trực tuyến]. Có tại: https://docs.oracle.com/en/java/javase/17/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[2]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VMware (Spring Team), </w:t>
      </w:r>
      <w:r>
        <w:rPr>
          <w:rFonts w:ascii="Times New Roman" w:hAnsi="Times New Roman" w:eastAsia="Times New Roman"/>
          <w:b w:val="0"/>
          <w:i/>
          <w:sz w:val="26"/>
        </w:rPr>
        <w:t>Spring Boot Reference Documentation, v3.2.4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https://docs.spring.io/spring-boot/docs/3.2.4/reference/html/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[3]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VMware (Spring Team), </w:t>
      </w:r>
      <w:r>
        <w:rPr>
          <w:rFonts w:ascii="Times New Roman" w:hAnsi="Times New Roman" w:eastAsia="Times New Roman"/>
          <w:b w:val="0"/>
          <w:i/>
          <w:sz w:val="26"/>
        </w:rPr>
        <w:t>Spring Framework Reference Documentation, v6.1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https://docs.spring.io/spring-framework/reference/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[4]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VMware (Spring Team), </w:t>
      </w:r>
      <w:r>
        <w:rPr>
          <w:rFonts w:ascii="Times New Roman" w:hAnsi="Times New Roman" w:eastAsia="Times New Roman"/>
          <w:b w:val="0"/>
          <w:i/>
          <w:sz w:val="26"/>
        </w:rPr>
        <w:t>Spring Cloud Documentation (Release Train 2023.0.1)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https://spring.io/projects/spring-cloud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[5]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VMware (Spring Team), </w:t>
      </w:r>
      <w:r>
        <w:rPr>
          <w:rFonts w:ascii="Times New Roman" w:hAnsi="Times New Roman" w:eastAsia="Times New Roman"/>
          <w:b w:val="0"/>
          <w:i/>
          <w:sz w:val="26"/>
        </w:rPr>
        <w:t>Spring Cloud Gateway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https://spring.io/projects/spring-cloud-gateway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[6]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VMware (Spring Team), </w:t>
      </w:r>
      <w:r>
        <w:rPr>
          <w:rFonts w:ascii="Times New Roman" w:hAnsi="Times New Roman" w:eastAsia="Times New Roman"/>
          <w:b w:val="0"/>
          <w:i/>
          <w:sz w:val="26"/>
        </w:rPr>
        <w:t>Spring Cloud OpenFeign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https://spring.io/projects/spring-cloud-openfeign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[7]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VMware (Spring Team), </w:t>
      </w:r>
      <w:r>
        <w:rPr>
          <w:rFonts w:ascii="Times New Roman" w:hAnsi="Times New Roman" w:eastAsia="Times New Roman"/>
          <w:b w:val="0"/>
          <w:i/>
          <w:sz w:val="26"/>
        </w:rPr>
        <w:t>Spring Security Reference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https://docs.spring.io/spring-security/reference/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[8]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S. Newman, </w:t>
      </w:r>
      <w:r>
        <w:rPr>
          <w:rFonts w:ascii="Times New Roman" w:hAnsi="Times New Roman" w:eastAsia="Times New Roman"/>
          <w:b w:val="0"/>
          <w:i/>
          <w:sz w:val="26"/>
        </w:rPr>
        <w:t>Building Microservices: Designing Fine-Grained Systems</w:t>
      </w:r>
      <w:r>
        <w:rPr>
          <w:rFonts w:ascii="Times New Roman" w:hAnsi="Times New Roman" w:eastAsia="Times New Roman"/>
          <w:b w:val="0"/>
          <w:i w:val="0"/>
          <w:sz w:val="26"/>
        </w:rPr>
        <w:t>, 2nd ed. Sebastopol, CA: O'Reilly Media, 2021.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[9]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M. Fowler, </w:t>
      </w:r>
      <w:r>
        <w:rPr>
          <w:rFonts w:ascii="Times New Roman" w:hAnsi="Times New Roman" w:eastAsia="Times New Roman"/>
          <w:b w:val="0"/>
          <w:i/>
          <w:sz w:val="26"/>
        </w:rPr>
        <w:t>“Microservices: a definition of this new architectural term”</w:t>
      </w:r>
      <w:r>
        <w:rPr>
          <w:rFonts w:ascii="Times New Roman" w:hAnsi="Times New Roman" w:eastAsia="Times New Roman"/>
          <w:b w:val="0"/>
          <w:i w:val="0"/>
          <w:sz w:val="26"/>
        </w:rPr>
        <w:t>. martinfowler.com, 2014. [Trực tuyến]. Có tại: https://martinfowler.com/articles/microservices.html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[10]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I. Fette and A. Melnikov, </w:t>
      </w:r>
      <w:r>
        <w:rPr>
          <w:rFonts w:ascii="Times New Roman" w:hAnsi="Times New Roman" w:eastAsia="Times New Roman"/>
          <w:b w:val="0"/>
          <w:i/>
          <w:sz w:val="26"/>
        </w:rPr>
        <w:t>RFC 6455 — The WebSocket Protocol</w:t>
      </w:r>
      <w:r>
        <w:rPr>
          <w:rFonts w:ascii="Times New Roman" w:hAnsi="Times New Roman" w:eastAsia="Times New Roman"/>
          <w:b w:val="0"/>
          <w:i w:val="0"/>
          <w:sz w:val="26"/>
        </w:rPr>
        <w:t>. Internet Engineering Task Force (IETF), 2011. [Trực tuyến]. Có tại: https://datatracker.ietf.org/doc/html/rfc6455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[11]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M. Jones, J. Bradley, and N. Sakimura, </w:t>
      </w:r>
      <w:r>
        <w:rPr>
          <w:rFonts w:ascii="Times New Roman" w:hAnsi="Times New Roman" w:eastAsia="Times New Roman"/>
          <w:b w:val="0"/>
          <w:i/>
          <w:sz w:val="26"/>
        </w:rPr>
        <w:t>RFC 7519 — JSON Web Token (JWT)</w:t>
      </w:r>
      <w:r>
        <w:rPr>
          <w:rFonts w:ascii="Times New Roman" w:hAnsi="Times New Roman" w:eastAsia="Times New Roman"/>
          <w:b w:val="0"/>
          <w:i w:val="0"/>
          <w:sz w:val="26"/>
        </w:rPr>
        <w:t>. Internet Engineering Task Force (IETF), 2015. [Trực tuyến]. Có tại: https://datatracker.ietf.org/doc/html/rfc7519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[12]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Broadcom (Pivotal), </w:t>
      </w:r>
      <w:r>
        <w:rPr>
          <w:rFonts w:ascii="Times New Roman" w:hAnsi="Times New Roman" w:eastAsia="Times New Roman"/>
          <w:b w:val="0"/>
          <w:i/>
          <w:sz w:val="26"/>
        </w:rPr>
        <w:t>RabbitMQ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https://www.rabbitmq.com/docs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[13]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Oracle, </w:t>
      </w:r>
      <w:r>
        <w:rPr>
          <w:rFonts w:ascii="Times New Roman" w:hAnsi="Times New Roman" w:eastAsia="Times New Roman"/>
          <w:b w:val="0"/>
          <w:i/>
          <w:sz w:val="26"/>
        </w:rPr>
        <w:t>MySQL 8.0 Reference Manual</w:t>
      </w:r>
      <w:r>
        <w:rPr>
          <w:rFonts w:ascii="Times New Roman" w:hAnsi="Times New Roman" w:eastAsia="Times New Roman"/>
          <w:b w:val="0"/>
          <w:i w:val="0"/>
          <w:sz w:val="26"/>
        </w:rPr>
        <w:t>. Oracle Corporation, 2024. [Trực tuyến]. Có tại: https://dev.mysql.com/doc/refman/8.0/en/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[14]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MinIO Inc., </w:t>
      </w:r>
      <w:r>
        <w:rPr>
          <w:rFonts w:ascii="Times New Roman" w:hAnsi="Times New Roman" w:eastAsia="Times New Roman"/>
          <w:b w:val="0"/>
          <w:i/>
          <w:sz w:val="26"/>
        </w:rPr>
        <w:t>MinIO Object Storage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https://min.io/docs/minio/linux/index.html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[15]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Docker Inc., </w:t>
      </w:r>
      <w:r>
        <w:rPr>
          <w:rFonts w:ascii="Times New Roman" w:hAnsi="Times New Roman" w:eastAsia="Times New Roman"/>
          <w:b w:val="0"/>
          <w:i/>
          <w:sz w:val="26"/>
        </w:rPr>
        <w:t>Docker Documentation &amp; Docker Compose Specification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https://docs.docker.com/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[16]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The Apache Software Foundation, </w:t>
      </w:r>
      <w:r>
        <w:rPr>
          <w:rFonts w:ascii="Times New Roman" w:hAnsi="Times New Roman" w:eastAsia="Times New Roman"/>
          <w:b w:val="0"/>
          <w:i/>
          <w:sz w:val="26"/>
        </w:rPr>
        <w:t>Apache Maven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https://maven.apache.org/guides/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[17]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CloudBees / Jenkins Project, </w:t>
      </w:r>
      <w:r>
        <w:rPr>
          <w:rFonts w:ascii="Times New Roman" w:hAnsi="Times New Roman" w:eastAsia="Times New Roman"/>
          <w:b w:val="0"/>
          <w:i/>
          <w:sz w:val="26"/>
        </w:rPr>
        <w:t>Jenkins User Documentation — Pipeline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https://www.jenkins.io/doc/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[18]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SonarSource, </w:t>
      </w:r>
      <w:r>
        <w:rPr>
          <w:rFonts w:ascii="Times New Roman" w:hAnsi="Times New Roman" w:eastAsia="Times New Roman"/>
          <w:b w:val="0"/>
          <w:i/>
          <w:sz w:val="26"/>
        </w:rPr>
        <w:t>SonarQube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https://docs.sonarsource.com/sonarqube/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[19]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Prometheus Authors, </w:t>
      </w:r>
      <w:r>
        <w:rPr>
          <w:rFonts w:ascii="Times New Roman" w:hAnsi="Times New Roman" w:eastAsia="Times New Roman"/>
          <w:b w:val="0"/>
          <w:i/>
          <w:sz w:val="26"/>
        </w:rPr>
        <w:t>Prometheus — Monitoring System &amp; Time Series Database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https://prometheus.io/docs/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[20]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Grafana Labs, </w:t>
      </w:r>
      <w:r>
        <w:rPr>
          <w:rFonts w:ascii="Times New Roman" w:hAnsi="Times New Roman" w:eastAsia="Times New Roman"/>
          <w:b w:val="0"/>
          <w:i/>
          <w:sz w:val="26"/>
        </w:rPr>
        <w:t>Grafana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https://grafana.com/docs/grafana/latest/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[21]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FormDev Software, </w:t>
      </w:r>
      <w:r>
        <w:rPr>
          <w:rFonts w:ascii="Times New Roman" w:hAnsi="Times New Roman" w:eastAsia="Times New Roman"/>
          <w:b w:val="0"/>
          <w:i/>
          <w:sz w:val="26"/>
        </w:rPr>
        <w:t>FlatLaf — Flat Look and Feel for Java Swing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https://www.formdev.com/flatlaf/</w:t>
      </w:r>
    </w:p>
    <w:p>
      <w:pPr>
        <w:spacing w:after="120" w:line="312" w:lineRule="auto"/>
        <w:ind w:left="560" w:hanging="56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[22]</w:t>
        <w:tab/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Project Lombok, </w:t>
      </w:r>
      <w:r>
        <w:rPr>
          <w:rFonts w:ascii="Times New Roman" w:hAnsi="Times New Roman" w:eastAsia="Times New Roman"/>
          <w:b w:val="0"/>
          <w:i/>
          <w:sz w:val="26"/>
        </w:rPr>
        <w:t>Project Lombok Documentation</w:t>
      </w:r>
      <w:r>
        <w:rPr>
          <w:rFonts w:ascii="Times New Roman" w:hAnsi="Times New Roman" w:eastAsia="Times New Roman"/>
          <w:b w:val="0"/>
          <w:i w:val="0"/>
          <w:sz w:val="26"/>
        </w:rPr>
        <w:t>. 2024. [Trực tuyến]. Có tại: https://projectlombok.org/features/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i/>
        <w:sz w:val="22"/>
      </w:rPr>
      <w:t>SE330 – Ngôn ngữ lập trình JAVA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