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jc w:val="center"/>
      </w:pPr>
      <w:r>
        <w:rPr>
          <w:rFonts w:ascii="Arial" w:cs="Arial" w:eastAsia="Arial" w:hAnsi="Arial"/>
          <w:b/>
          <w:bCs/>
          <w:sz w:val="28"/>
          <w:szCs w:val="28"/>
          <w:u w:val="single"/>
        </w:rPr>
        <w:t xml:space="preserve">Summary of the Conception Phase</w:t>
      </w:r>
    </w:p>
    <w:p>
      <w:pPr>
        <w:pStyle w:val="Heading1"/>
        <w:spacing w:after="100" w:before="240"/>
      </w:pPr>
      <w:r>
        <w:rPr>
          <w:rFonts w:ascii="Arial" w:cs="Arial" w:eastAsia="Arial" w:hAnsi="Arial"/>
          <w:b/>
          <w:bCs/>
          <w:sz w:val="26"/>
          <w:szCs w:val="26"/>
        </w:rPr>
        <w:t xml:space="preserve">Problem Definition and Objectives</w:t>
      </w:r>
    </w:p>
    <w:p>
      <w:pPr>
        <w:spacing w:after="100" w:before="60" w:line="360" w:lineRule="auto"/>
        <w:jc w:val="both"/>
      </w:pPr>
      <w:r>
        <w:rPr>
          <w:rFonts w:ascii="Arial" w:cs="Arial" w:eastAsia="Arial" w:hAnsi="Arial"/>
          <w:sz w:val="22"/>
          <w:szCs w:val="22"/>
        </w:rPr>
        <w:t xml:space="preserve">Designing a relational database for an Airbnb-style platform is, at its core, a problem of modelling competing interests within a single system. Guests need to discover, evaluate, and book accommodation; hosts need to list properties, manage availability, and receive payment; and the platform itself must mediate every interaction with consistent rules and traceable records. The structural difficulty is not merely storing these interactions but encoding the constraints that govern them — a booking cannot reference an unavailable date, a review cannot precede a completed stay, and a payout cannot exist without a prior confirmed reservation.</w:t>
      </w:r>
    </w:p>
    <w:p>
      <w:pPr>
        <w:spacing w:after="100" w:before="60" w:line="360" w:lineRule="auto"/>
        <w:jc w:val="both"/>
      </w:pPr>
      <w:r>
        <w:rPr>
          <w:rFonts w:ascii="Arial" w:cs="Arial" w:eastAsia="Arial" w:hAnsi="Arial"/>
          <w:sz w:val="22"/>
          <w:szCs w:val="22"/>
        </w:rPr>
        <w:t xml:space="preserve">The objective of this phase was to capture those constraints formally, before a single line of SQL was written. That meant producing a requirements specification precise enough to derive a data model from, and an Entity Relationship Model detailed enough to drive implementation without further interpretation. Getting this right at the conceptual stage matters considerably: gaps in the model surface as referential errors or redundant columns in the finished schema, and they are far cheaper to fix on paper than in a populated database.</w:t>
      </w:r>
    </w:p>
    <w:p>
      <w:pPr>
        <w:pStyle w:val="Heading1"/>
        <w:spacing w:after="100" w:before="240"/>
      </w:pPr>
      <w:r>
        <w:rPr>
          <w:rFonts w:ascii="Arial" w:cs="Arial" w:eastAsia="Arial" w:hAnsi="Arial"/>
          <w:b/>
          <w:bCs/>
          <w:sz w:val="26"/>
          <w:szCs w:val="26"/>
        </w:rPr>
        <w:t xml:space="preserve">Solution Approach</w:t>
      </w:r>
    </w:p>
    <w:p>
      <w:pPr>
        <w:spacing w:after="100" w:before="60" w:line="360" w:lineRule="auto"/>
        <w:jc w:val="both"/>
      </w:pPr>
      <w:r>
        <w:rPr>
          <w:rFonts w:ascii="Arial" w:cs="Arial" w:eastAsia="Arial" w:hAnsi="Arial"/>
          <w:sz w:val="22"/>
          <w:szCs w:val="22"/>
        </w:rPr>
        <w:t xml:space="preserve">The design process started with a role-based requirements analysis. Three primary user roles — Guest, Host, and Admin — were defined, along with a fourth category for External Services such as payment processors. For each role, the specific actions performed within the system were mapped to the data structures those actions would generate or modify. This produced a clear functional inventory before any entity was formally named.</w:t>
      </w:r>
    </w:p>
    <w:p>
      <w:pPr>
        <w:spacing w:after="100" w:before="60" w:line="360" w:lineRule="auto"/>
        <w:jc w:val="both"/>
      </w:pPr>
      <w:r>
        <w:rPr>
          <w:rFonts w:ascii="Arial" w:cs="Arial" w:eastAsia="Arial" w:hAnsi="Arial"/>
          <w:sz w:val="22"/>
          <w:szCs w:val="22"/>
        </w:rPr>
        <w:t xml:space="preserve">From that inventory, an Entity Relationship Model was constructed containing 22 entities. The scope was intentionally broad: beyond the obvious booking and payment tables, the model captures property photos, house rules, amenity assignments, session logs, host identity verification, search history, review replies, and support tickets. Three of the entities are ternary junction tables, introduced where two-way relationships were structurally insufficient. The listing_amenities table ties a specific amenity to both a listing and its host. The reservation_guests table associates additional travellers with both a booking and the property. The reservation_payments table binds each financial transaction to the guest, the reservation, and the payment method — a structure that audit and refund workflows require but that a simple payment-to-booking link cannot support.</w:t>
      </w:r>
    </w:p>
    <w:p>
      <w:pPr>
        <w:spacing w:after="100" w:before="60" w:line="360" w:lineRule="auto"/>
        <w:jc w:val="both"/>
      </w:pPr>
      <w:r>
        <w:rPr>
          <w:rFonts w:ascii="Arial" w:cs="Arial" w:eastAsia="Arial" w:hAnsi="Arial"/>
          <w:sz w:val="22"/>
          <w:szCs w:val="22"/>
        </w:rPr>
        <w:t xml:space="preserve">Cardinality was specified throughout using UML-style 0..1 and * notation. Normalisation to Third Normal Form was confirmed for each entity: no attribute depends on anything other than the primary key of its own table. A data dictionary documenting all attributes, data types, and descriptions was compiled as part of the phase deliverable.</w:t>
      </w:r>
    </w:p>
    <w:p>
      <w:pPr>
        <w:pStyle w:val="Heading1"/>
        <w:spacing w:after="100" w:before="240"/>
      </w:pPr>
      <w:r>
        <w:rPr>
          <w:rFonts w:ascii="Arial" w:cs="Arial" w:eastAsia="Arial" w:hAnsi="Arial"/>
          <w:b/>
          <w:bCs/>
          <w:sz w:val="26"/>
          <w:szCs w:val="26"/>
        </w:rPr>
        <w:t xml:space="preserve">Working Steps</w:t>
      </w:r>
    </w:p>
    <w:p>
      <w:pPr>
        <w:pStyle w:val="ListParagraph"/>
        <w:numPr>
          <w:ilvl w:val="0"/>
          <w:numId w:val="2"/>
        </w:numPr>
        <w:spacing w:after="40" w:before="40" w:line="360" w:lineRule="auto"/>
        <w:jc w:val="both"/>
      </w:pPr>
      <w:r>
        <w:rPr>
          <w:rFonts w:ascii="Arial" w:cs="Arial" w:eastAsia="Arial" w:hAnsi="Arial"/>
          <w:sz w:val="22"/>
          <w:szCs w:val="22"/>
        </w:rPr>
        <w:t xml:space="preserve">Requirements analysis — Core user journeys were mapped to establish which roles generate which persistent data. Role boundaries were kept explicit to prevent ambiguous ownership of records.</w:t>
      </w:r>
    </w:p>
    <w:p>
      <w:pPr>
        <w:pStyle w:val="ListParagraph"/>
        <w:numPr>
          <w:ilvl w:val="0"/>
          <w:numId w:val="2"/>
        </w:numPr>
        <w:spacing w:after="40" w:before="40" w:line="360" w:lineRule="auto"/>
        <w:jc w:val="both"/>
      </w:pPr>
      <w:r>
        <w:rPr>
          <w:rFonts w:ascii="Arial" w:cs="Arial" w:eastAsia="Arial" w:hAnsi="Arial"/>
          <w:sz w:val="22"/>
          <w:szCs w:val="22"/>
        </w:rPr>
        <w:t xml:space="preserve">Functional decomposition — Platform functions including search and discovery, booking management, payment processing, the review lifecycle, and messaging were each traced to the tables they depend on and populate.</w:t>
      </w:r>
    </w:p>
    <w:p>
      <w:pPr>
        <w:pStyle w:val="ListParagraph"/>
        <w:numPr>
          <w:ilvl w:val="0"/>
          <w:numId w:val="2"/>
        </w:numPr>
        <w:spacing w:after="40" w:before="40" w:line="360" w:lineRule="auto"/>
        <w:jc w:val="both"/>
      </w:pPr>
      <w:r>
        <w:rPr>
          <w:rFonts w:ascii="Arial" w:cs="Arial" w:eastAsia="Arial" w:hAnsi="Arial"/>
          <w:sz w:val="22"/>
          <w:szCs w:val="22"/>
        </w:rPr>
        <w:t xml:space="preserve">ER modelling — The 22-entity ERM was developed iteratively, with cardinality specified for every relationship and key attributes marked. Three ternary relationships were introduced where binary associations could not represent the required business constraints.</w:t>
      </w:r>
    </w:p>
    <w:p>
      <w:pPr>
        <w:pStyle w:val="ListParagraph"/>
        <w:numPr>
          <w:ilvl w:val="0"/>
          <w:numId w:val="2"/>
        </w:numPr>
        <w:spacing w:after="40" w:before="40" w:line="360" w:lineRule="auto"/>
        <w:jc w:val="both"/>
      </w:pPr>
      <w:r>
        <w:rPr>
          <w:rFonts w:ascii="Arial" w:cs="Arial" w:eastAsia="Arial" w:hAnsi="Arial"/>
          <w:sz w:val="22"/>
          <w:szCs w:val="22"/>
        </w:rPr>
        <w:t xml:space="preserve">Data dictionary — Attribute names, data types (VARCHAR, INT, DECIMAL, DATETIME, BOOLEAN), and concise descriptions were compiled for all 22 entities, ensuring the model was ready for direct SQL implementation.</w:t>
      </w:r>
    </w:p>
    <w:p>
      <w:pPr>
        <w:pStyle w:val="ListParagraph"/>
        <w:numPr>
          <w:ilvl w:val="0"/>
          <w:numId w:val="2"/>
        </w:numPr>
        <w:spacing w:after="40" w:before="40" w:line="360" w:lineRule="auto"/>
        <w:jc w:val="both"/>
      </w:pPr>
      <w:r>
        <w:rPr>
          <w:rFonts w:ascii="Arial" w:cs="Arial" w:eastAsia="Arial" w:hAnsi="Arial"/>
          <w:sz w:val="22"/>
          <w:szCs w:val="22"/>
        </w:rPr>
        <w:t xml:space="preserve">Consistency review — The ERM was cross-checked against the requirements specification to confirm that every role, action, and data element identified in the analysis phase had a corresponding structural representation in the model.</w:t>
      </w:r>
    </w:p>
    <w:p>
      <w:pPr>
        <w:spacing w:after="60" w:before="0"/>
      </w:pPr>
      <w:r>
        <w:rPr>
          <w:rFonts w:ascii="Arial" w:cs="Arial" w:eastAsia="Arial" w:hAnsi="Arial"/>
          <w:sz w:val="22"/>
          <w:szCs w:val="22"/>
        </w:rP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sz w:val="26"/>
      <w:szCs w:val="26"/>
    </w:rPr>
  </w:style>
  <w:style w:type="paragraph" w:styleId="Heading2">
    <w:name w:val="Heading 2"/>
    <w:basedOn w:val="Normal"/>
    <w:next w:val="Normal"/>
    <w:qFormat/>
    <w:pPr>
      <w:spacing w:after="8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2026-04-10T15:35:29.961Z</dcterms:created>
  <dcterms:modified xsi:type="dcterms:W3CDTF">2026-04-10T15:35:29.962Z</dcterms:modified>
</cp:coreProperties>
</file>

<file path=docProps/custom.xml><?xml version="1.0" encoding="utf-8"?>
<Properties xmlns="http://schemas.openxmlformats.org/officeDocument/2006/custom-properties" xmlns:vt="http://schemas.openxmlformats.org/officeDocument/2006/docPropsVTypes"/>
</file>